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70D7" w14:textId="77777777" w:rsidR="000716D4" w:rsidRPr="00B8637B" w:rsidRDefault="000716D4" w:rsidP="00AA3FD9">
      <w:pPr>
        <w:pStyle w:val="BasicParagraph"/>
        <w:jc w:val="right"/>
        <w:rPr>
          <w:rFonts w:ascii="ArialMT" w:hAnsi="ArialMT" w:cs="ArialMT"/>
          <w:color w:val="auto"/>
          <w:sz w:val="52"/>
          <w:szCs w:val="52"/>
        </w:rPr>
      </w:pPr>
      <w:bookmarkStart w:id="0" w:name="_GoBack"/>
      <w:bookmarkEnd w:id="0"/>
    </w:p>
    <w:p w14:paraId="012BA6F9" w14:textId="77777777" w:rsidR="000716D4" w:rsidRPr="00B8637B" w:rsidRDefault="000716D4" w:rsidP="00AA3FD9">
      <w:pPr>
        <w:pStyle w:val="BasicParagraph"/>
        <w:jc w:val="right"/>
        <w:rPr>
          <w:rFonts w:ascii="ArialMT" w:hAnsi="ArialMT" w:cs="ArialMT"/>
          <w:color w:val="auto"/>
          <w:sz w:val="30"/>
          <w:szCs w:val="52"/>
        </w:rPr>
      </w:pPr>
    </w:p>
    <w:p w14:paraId="02B16126" w14:textId="04B63ABB" w:rsidR="00E82D3A" w:rsidRPr="00B8637B" w:rsidRDefault="00EB3925" w:rsidP="00E82D3A">
      <w:pPr>
        <w:jc w:val="center"/>
        <w:rPr>
          <w:rFonts w:asciiTheme="majorHAnsi" w:hAnsiTheme="majorHAnsi"/>
          <w:sz w:val="56"/>
          <w:szCs w:val="56"/>
        </w:rPr>
      </w:pPr>
      <w:r w:rsidRPr="00B8637B">
        <w:rPr>
          <w:rFonts w:asciiTheme="majorHAnsi" w:hAnsiTheme="majorHAnsi" w:cstheme="majorHAnsi"/>
          <w:sz w:val="56"/>
          <w:szCs w:val="56"/>
        </w:rPr>
        <w:t>Year 11 Physics</w:t>
      </w:r>
    </w:p>
    <w:p w14:paraId="69E8953E" w14:textId="2B122EBC" w:rsidR="00E82D3A" w:rsidRPr="00B8637B" w:rsidRDefault="00C9459A" w:rsidP="00C9459A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Yearly Examination 2023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B8637B" w:rsidRPr="00B8637B" w14:paraId="46E04B9D" w14:textId="77777777" w:rsidTr="00C57BB5">
        <w:tc>
          <w:tcPr>
            <w:tcW w:w="10676" w:type="dxa"/>
            <w:vAlign w:val="center"/>
          </w:tcPr>
          <w:p w14:paraId="1AB257D5" w14:textId="77777777" w:rsidR="00E4181C" w:rsidRPr="00B8637B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B8637B" w:rsidRPr="00B8637B" w14:paraId="66E8B4EE" w14:textId="77777777" w:rsidTr="00C9459A">
        <w:trPr>
          <w:trHeight w:val="592"/>
        </w:trPr>
        <w:tc>
          <w:tcPr>
            <w:tcW w:w="7016" w:type="dxa"/>
          </w:tcPr>
          <w:p w14:paraId="25C19995" w14:textId="63FF1B51" w:rsidR="00503770" w:rsidRPr="00B8637B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B8637B">
              <w:rPr>
                <w:rFonts w:asciiTheme="majorHAnsi" w:hAnsiTheme="majorHAnsi" w:cstheme="majorHAnsi"/>
                <w:b/>
              </w:rPr>
              <w:t>TOPIC</w:t>
            </w:r>
            <w:r w:rsidRPr="00B8637B">
              <w:rPr>
                <w:rFonts w:asciiTheme="majorHAnsi" w:hAnsiTheme="majorHAnsi" w:cstheme="majorHAnsi"/>
              </w:rPr>
              <w:t>:</w:t>
            </w:r>
            <w:r w:rsidR="00C9459A">
              <w:rPr>
                <w:rFonts w:asciiTheme="majorHAnsi" w:hAnsiTheme="majorHAnsi" w:cstheme="majorHAnsi"/>
              </w:rPr>
              <w:t xml:space="preserve"> Yearly Examination</w:t>
            </w:r>
          </w:p>
        </w:tc>
        <w:tc>
          <w:tcPr>
            <w:tcW w:w="3326" w:type="dxa"/>
          </w:tcPr>
          <w:p w14:paraId="0F2DB0EA" w14:textId="1ED8A41B" w:rsidR="00503770" w:rsidRPr="00B8637B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MARKS:</w:t>
            </w:r>
            <w:r w:rsidRPr="00B8637B">
              <w:rPr>
                <w:rFonts w:asciiTheme="majorHAnsi" w:hAnsiTheme="majorHAnsi" w:cstheme="majorHAnsi"/>
              </w:rPr>
              <w:tab/>
            </w:r>
            <w:r w:rsidR="00C9459A">
              <w:rPr>
                <w:rFonts w:asciiTheme="majorHAnsi" w:hAnsiTheme="majorHAnsi" w:cstheme="majorHAnsi"/>
              </w:rPr>
              <w:t xml:space="preserve">            </w:t>
            </w:r>
            <w:r w:rsidRPr="00B8637B">
              <w:rPr>
                <w:rFonts w:asciiTheme="majorHAnsi" w:hAnsiTheme="majorHAnsi" w:cstheme="majorHAnsi"/>
              </w:rPr>
              <w:t>/</w:t>
            </w:r>
            <w:r w:rsidR="00C9459A">
              <w:rPr>
                <w:rFonts w:asciiTheme="majorHAnsi" w:hAnsiTheme="majorHAnsi" w:cstheme="majorHAnsi"/>
              </w:rPr>
              <w:t>75</w:t>
            </w:r>
            <w:r w:rsidRPr="00B8637B">
              <w:rPr>
                <w:rFonts w:asciiTheme="majorHAnsi" w:hAnsiTheme="majorHAnsi" w:cstheme="majorHAnsi"/>
              </w:rPr>
              <w:tab/>
            </w:r>
          </w:p>
        </w:tc>
      </w:tr>
      <w:tr w:rsidR="00B8637B" w:rsidRPr="00B8637B" w14:paraId="6203AD3D" w14:textId="77777777" w:rsidTr="00C9459A">
        <w:trPr>
          <w:trHeight w:val="686"/>
        </w:trPr>
        <w:tc>
          <w:tcPr>
            <w:tcW w:w="7016" w:type="dxa"/>
          </w:tcPr>
          <w:p w14:paraId="19F44994" w14:textId="317509A3" w:rsidR="00FA6CC0" w:rsidRPr="00B8637B" w:rsidRDefault="00503770" w:rsidP="00A51FF3">
            <w:pPr>
              <w:rPr>
                <w:rFonts w:asciiTheme="majorHAnsi" w:hAnsiTheme="majorHAnsi" w:cstheme="majorHAnsi"/>
              </w:rPr>
            </w:pPr>
            <w:r w:rsidRPr="00B8637B">
              <w:rPr>
                <w:rFonts w:asciiTheme="majorHAnsi" w:hAnsiTheme="majorHAnsi" w:cstheme="majorHAnsi"/>
                <w:b/>
              </w:rPr>
              <w:t>SUBMISSION REQUIREMENTS:</w:t>
            </w:r>
            <w:r w:rsidRPr="00B8637B">
              <w:rPr>
                <w:rFonts w:asciiTheme="majorHAnsi" w:hAnsiTheme="majorHAnsi" w:cstheme="majorHAnsi"/>
              </w:rPr>
              <w:t xml:space="preserve"> </w:t>
            </w:r>
          </w:p>
          <w:p w14:paraId="4BB7833D" w14:textId="7308BE2F" w:rsidR="00CB1468" w:rsidRPr="00B8637B" w:rsidRDefault="00C9459A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Students complete task during weeks 9/10, in accordance with the examination timetable.</w:t>
            </w:r>
          </w:p>
        </w:tc>
        <w:tc>
          <w:tcPr>
            <w:tcW w:w="3326" w:type="dxa"/>
          </w:tcPr>
          <w:p w14:paraId="5A329825" w14:textId="762635FA" w:rsidR="00503770" w:rsidRPr="00B8637B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B8637B">
              <w:rPr>
                <w:rFonts w:asciiTheme="majorHAnsi" w:hAnsiTheme="majorHAnsi" w:cstheme="majorHAnsi"/>
              </w:rPr>
              <w:tab/>
            </w:r>
            <w:r w:rsidRPr="00B8637B">
              <w:rPr>
                <w:rFonts w:asciiTheme="majorHAnsi" w:hAnsiTheme="majorHAnsi" w:cstheme="majorHAnsi"/>
              </w:rPr>
              <w:tab/>
            </w:r>
            <w:r w:rsidR="00EB3925" w:rsidRPr="00B8637B">
              <w:rPr>
                <w:rFonts w:asciiTheme="majorHAnsi" w:hAnsiTheme="majorHAnsi" w:cstheme="majorHAnsi"/>
              </w:rPr>
              <w:t>3</w:t>
            </w:r>
            <w:r w:rsidR="00C9459A">
              <w:rPr>
                <w:rFonts w:asciiTheme="majorHAnsi" w:hAnsiTheme="majorHAnsi" w:cstheme="majorHAnsi"/>
              </w:rPr>
              <w:t>5</w:t>
            </w:r>
            <w:r w:rsidRPr="00B8637B">
              <w:rPr>
                <w:rFonts w:asciiTheme="majorHAnsi" w:hAnsiTheme="majorHAnsi" w:cstheme="majorHAnsi"/>
              </w:rPr>
              <w:t>%</w:t>
            </w:r>
          </w:p>
        </w:tc>
      </w:tr>
      <w:tr w:rsidR="00B8637B" w:rsidRPr="00B8637B" w14:paraId="2A62E027" w14:textId="77777777" w:rsidTr="00C9459A">
        <w:trPr>
          <w:trHeight w:val="900"/>
        </w:trPr>
        <w:tc>
          <w:tcPr>
            <w:tcW w:w="10342" w:type="dxa"/>
            <w:gridSpan w:val="2"/>
          </w:tcPr>
          <w:p w14:paraId="4219E948" w14:textId="77777777" w:rsidR="00503770" w:rsidRPr="00B8637B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6C49495" w14:textId="4E84FB7C" w:rsidR="00EB3925" w:rsidRPr="00B8637B" w:rsidRDefault="00EB3925" w:rsidP="00A51FF3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PH11-1 Develop</w:t>
            </w:r>
            <w:r w:rsidRPr="00B8637B">
              <w:rPr>
                <w:rFonts w:asciiTheme="majorHAnsi" w:hAnsiTheme="majorHAnsi" w:cstheme="majorHAnsi"/>
                <w:bCs/>
              </w:rPr>
              <w:t xml:space="preserve"> and </w:t>
            </w:r>
            <w:r w:rsidRPr="005E2C3D">
              <w:rPr>
                <w:rFonts w:asciiTheme="majorHAnsi" w:hAnsiTheme="majorHAnsi" w:cstheme="majorHAnsi"/>
              </w:rPr>
              <w:t>evaluates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questions and hypothesis for scientific investigation</w:t>
            </w:r>
          </w:p>
          <w:p w14:paraId="0A099F3B" w14:textId="7D77A12D" w:rsidR="00EB3925" w:rsidRPr="00B8637B" w:rsidRDefault="00EB3925" w:rsidP="00A51FF3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PH11-2 Designs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and </w:t>
            </w:r>
            <w:r w:rsidRPr="005E2C3D">
              <w:rPr>
                <w:rFonts w:asciiTheme="majorHAnsi" w:hAnsiTheme="majorHAnsi" w:cstheme="majorHAnsi"/>
              </w:rPr>
              <w:t>evaluates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investigations in order to obtain primary and secondary data and information</w:t>
            </w:r>
          </w:p>
          <w:p w14:paraId="282D825F" w14:textId="573A7EB8" w:rsidR="00EB3925" w:rsidRPr="00B8637B" w:rsidRDefault="00EB3925" w:rsidP="00A51FF3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PH11-3 </w:t>
            </w:r>
            <w:r w:rsidRPr="00B8637B">
              <w:rPr>
                <w:rFonts w:asciiTheme="majorHAnsi" w:hAnsiTheme="majorHAnsi" w:cstheme="majorHAnsi"/>
                <w:bCs/>
              </w:rPr>
              <w:t xml:space="preserve">Conducts investigations to </w:t>
            </w:r>
            <w:r w:rsidRPr="00B8637B">
              <w:rPr>
                <w:rFonts w:asciiTheme="majorHAnsi" w:hAnsiTheme="majorHAnsi" w:cstheme="majorHAnsi"/>
                <w:b/>
              </w:rPr>
              <w:t>collect</w:t>
            </w:r>
            <w:r w:rsidRPr="00B8637B">
              <w:rPr>
                <w:rFonts w:asciiTheme="majorHAnsi" w:hAnsiTheme="majorHAnsi" w:cstheme="majorHAnsi"/>
                <w:bCs/>
              </w:rPr>
              <w:t xml:space="preserve"> valid and reliable primary and secondary data and information</w:t>
            </w:r>
          </w:p>
          <w:p w14:paraId="0C50BCAC" w14:textId="77777777" w:rsidR="00EB3925" w:rsidRPr="00B8637B" w:rsidRDefault="00EB3925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PH11-4 Selects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and processes appropriate qualitative and quantitative data and information using a range of appropriate media</w:t>
            </w:r>
          </w:p>
          <w:p w14:paraId="413615F2" w14:textId="1B8EB016" w:rsidR="00EB3925" w:rsidRPr="00B8637B" w:rsidRDefault="00EB3925" w:rsidP="00A51FF3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PH11-5 Analyses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and evaluates primary and secondary data and information</w:t>
            </w:r>
          </w:p>
          <w:p w14:paraId="62569AD9" w14:textId="064B6EBD" w:rsidR="00EB3925" w:rsidRPr="00B8637B" w:rsidRDefault="00EB3925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PH11-6 Solves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scientific problems using primary and secondary data, critical thinking skills and scientific processes</w:t>
            </w:r>
          </w:p>
          <w:p w14:paraId="015766A6" w14:textId="0349B289" w:rsidR="00EB3925" w:rsidRPr="00B8637B" w:rsidRDefault="00EB3925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PH11-7 Communicates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scientific understanding using suitable language and terminology for a specific audience or purpose</w:t>
            </w:r>
          </w:p>
          <w:p w14:paraId="02FFD0F3" w14:textId="28E7ECA8" w:rsidR="00EB3925" w:rsidRPr="00B8637B" w:rsidRDefault="00EB3925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PH11-10 Explains</w:t>
            </w:r>
            <w:r w:rsidRPr="00B8637B">
              <w:rPr>
                <w:rFonts w:asciiTheme="majorHAnsi" w:hAnsiTheme="majorHAnsi" w:cstheme="majorHAnsi"/>
                <w:bCs/>
              </w:rPr>
              <w:t xml:space="preserve"> and analyses waves and the transfer of energy by sound, light and thermodynamic principles</w:t>
            </w:r>
          </w:p>
          <w:p w14:paraId="53F64932" w14:textId="5E9D978D" w:rsidR="00CB1468" w:rsidRPr="00B8637B" w:rsidRDefault="00CB1468" w:rsidP="00A51FF3">
            <w:pPr>
              <w:rPr>
                <w:rFonts w:asciiTheme="majorHAnsi" w:hAnsiTheme="majorHAnsi" w:cstheme="majorHAnsi"/>
              </w:rPr>
            </w:pPr>
          </w:p>
        </w:tc>
      </w:tr>
      <w:tr w:rsidR="00B8637B" w:rsidRPr="00B8637B" w14:paraId="50F97903" w14:textId="77777777" w:rsidTr="00C9459A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2E3DFB9B" w14:textId="77777777" w:rsidR="00503770" w:rsidRPr="00B8637B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601D9068" w14:textId="77777777" w:rsidR="00EB3925" w:rsidRPr="00B8637B" w:rsidRDefault="00EB3925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Analyse ‐ </w:t>
            </w:r>
            <w:r w:rsidRPr="00B8637B">
              <w:rPr>
                <w:rFonts w:asciiTheme="majorHAnsi" w:hAnsiTheme="majorHAnsi" w:cstheme="majorHAnsi"/>
                <w:bCs/>
              </w:rPr>
              <w:t>Identify components and the relationship between them; draw out and relate implications</w:t>
            </w:r>
          </w:p>
          <w:p w14:paraId="6939C337" w14:textId="7EE4EACE" w:rsidR="00EB3925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Collect – </w:t>
            </w:r>
            <w:r w:rsidR="0074356F" w:rsidRPr="00B8637B">
              <w:rPr>
                <w:rFonts w:asciiTheme="majorHAnsi" w:hAnsiTheme="majorHAnsi" w:cstheme="majorHAnsi"/>
                <w:bCs/>
              </w:rPr>
              <w:t>Make reading of and accurately record experimental data, curate research data to support a scientific discussion</w:t>
            </w:r>
          </w:p>
          <w:p w14:paraId="0345E90F" w14:textId="423FC687" w:rsidR="00787B0B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Communicate </w:t>
            </w:r>
            <w:r w:rsidR="0074356F" w:rsidRPr="00B8637B">
              <w:rPr>
                <w:rFonts w:asciiTheme="majorHAnsi" w:hAnsiTheme="majorHAnsi" w:cstheme="majorHAnsi"/>
                <w:b/>
              </w:rPr>
              <w:t>–</w:t>
            </w:r>
            <w:r w:rsidRPr="00B8637B">
              <w:rPr>
                <w:rFonts w:asciiTheme="majorHAnsi" w:hAnsiTheme="majorHAnsi" w:cstheme="majorHAnsi"/>
                <w:b/>
              </w:rPr>
              <w:t xml:space="preserve"> </w:t>
            </w:r>
            <w:r w:rsidR="0074356F" w:rsidRPr="00B8637B">
              <w:rPr>
                <w:rFonts w:asciiTheme="majorHAnsi" w:hAnsiTheme="majorHAnsi" w:cstheme="majorHAnsi"/>
                <w:bCs/>
              </w:rPr>
              <w:t>Present scientific ideas and demonstrate understanding in a clear and meaningful way</w:t>
            </w:r>
          </w:p>
          <w:p w14:paraId="45809BF1" w14:textId="4BC9D6AB" w:rsidR="00787B0B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>Design –</w:t>
            </w:r>
            <w:r w:rsidR="0074356F" w:rsidRPr="00B8637B">
              <w:rPr>
                <w:rFonts w:asciiTheme="majorHAnsi" w:hAnsiTheme="majorHAnsi" w:cstheme="majorHAnsi"/>
                <w:b/>
              </w:rPr>
              <w:t xml:space="preserve"> </w:t>
            </w:r>
            <w:r w:rsidR="0074356F" w:rsidRPr="00B8637B">
              <w:rPr>
                <w:rFonts w:asciiTheme="majorHAnsi" w:hAnsiTheme="majorHAnsi" w:cstheme="majorHAnsi"/>
                <w:bCs/>
              </w:rPr>
              <w:t xml:space="preserve">Create an accurate and valid investigation through a process of research, trial, error and reflection </w:t>
            </w:r>
          </w:p>
          <w:p w14:paraId="64363954" w14:textId="5F35EFA0" w:rsidR="00787B0B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Develop </w:t>
            </w:r>
            <w:r w:rsidR="0074356F" w:rsidRPr="00B8637B">
              <w:rPr>
                <w:rFonts w:asciiTheme="majorHAnsi" w:hAnsiTheme="majorHAnsi" w:cstheme="majorHAnsi"/>
                <w:b/>
              </w:rPr>
              <w:t xml:space="preserve">– </w:t>
            </w:r>
            <w:r w:rsidR="0074356F" w:rsidRPr="00B8637B">
              <w:rPr>
                <w:rFonts w:asciiTheme="majorHAnsi" w:hAnsiTheme="majorHAnsi" w:cstheme="majorHAnsi"/>
                <w:bCs/>
              </w:rPr>
              <w:t>Evolve a question and/or hypothesis by synthesising new knowledge and understanding</w:t>
            </w:r>
          </w:p>
          <w:p w14:paraId="2E1B1A38" w14:textId="77777777" w:rsidR="00EB3925" w:rsidRPr="00B8637B" w:rsidRDefault="00EB3925" w:rsidP="00EB3925">
            <w:pPr>
              <w:rPr>
                <w:rFonts w:asciiTheme="majorHAnsi" w:hAnsiTheme="majorHAnsi" w:cstheme="majorHAnsi"/>
                <w:b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Evaluate ‐ </w:t>
            </w:r>
            <w:r w:rsidRPr="00B8637B">
              <w:rPr>
                <w:rFonts w:asciiTheme="majorHAnsi" w:hAnsiTheme="majorHAnsi" w:cstheme="majorHAnsi"/>
                <w:bCs/>
              </w:rPr>
              <w:t>Make a judgement based on criteria; determine the value of</w:t>
            </w:r>
          </w:p>
          <w:p w14:paraId="1AEA2F12" w14:textId="72ABCDFB" w:rsidR="00CB1468" w:rsidRPr="00B8637B" w:rsidRDefault="00EB3925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Explain ‐ </w:t>
            </w:r>
            <w:r w:rsidRPr="00B8637B">
              <w:rPr>
                <w:rFonts w:asciiTheme="majorHAnsi" w:hAnsiTheme="majorHAnsi" w:cstheme="majorHAnsi"/>
                <w:bCs/>
              </w:rPr>
              <w:t>Relate cause and effect; make the relationships between things evident; provide why and/or</w:t>
            </w:r>
            <w:r w:rsidR="005737D1">
              <w:rPr>
                <w:rFonts w:asciiTheme="majorHAnsi" w:hAnsiTheme="majorHAnsi" w:cstheme="majorHAnsi"/>
                <w:bCs/>
              </w:rPr>
              <w:t xml:space="preserve"> h</w:t>
            </w:r>
            <w:r w:rsidRPr="00B8637B">
              <w:rPr>
                <w:rFonts w:asciiTheme="majorHAnsi" w:hAnsiTheme="majorHAnsi" w:cstheme="majorHAnsi"/>
                <w:bCs/>
              </w:rPr>
              <w:t>ow</w:t>
            </w:r>
          </w:p>
          <w:p w14:paraId="172CF0D0" w14:textId="39025D18" w:rsidR="00787B0B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Select </w:t>
            </w:r>
            <w:r w:rsidR="0074356F" w:rsidRPr="00B8637B">
              <w:rPr>
                <w:rFonts w:asciiTheme="majorHAnsi" w:hAnsiTheme="majorHAnsi" w:cstheme="majorHAnsi"/>
                <w:b/>
              </w:rPr>
              <w:t xml:space="preserve">– </w:t>
            </w:r>
            <w:r w:rsidR="0074356F" w:rsidRPr="00B8637B">
              <w:rPr>
                <w:rFonts w:asciiTheme="majorHAnsi" w:hAnsiTheme="majorHAnsi" w:cstheme="majorHAnsi"/>
                <w:bCs/>
              </w:rPr>
              <w:t xml:space="preserve">Choose valid and reliable resources from all available resources </w:t>
            </w:r>
          </w:p>
          <w:p w14:paraId="2C63288A" w14:textId="54D62FDE" w:rsidR="00787B0B" w:rsidRPr="00B8637B" w:rsidRDefault="00787B0B" w:rsidP="00EB3925">
            <w:pPr>
              <w:rPr>
                <w:rFonts w:asciiTheme="majorHAnsi" w:hAnsiTheme="majorHAnsi" w:cstheme="majorHAnsi"/>
                <w:bCs/>
              </w:rPr>
            </w:pPr>
            <w:r w:rsidRPr="00B8637B">
              <w:rPr>
                <w:rFonts w:asciiTheme="majorHAnsi" w:hAnsiTheme="majorHAnsi" w:cstheme="majorHAnsi"/>
                <w:b/>
              </w:rPr>
              <w:t xml:space="preserve">Solves </w:t>
            </w:r>
            <w:r w:rsidR="0074356F" w:rsidRPr="00B8637B">
              <w:rPr>
                <w:rFonts w:asciiTheme="majorHAnsi" w:hAnsiTheme="majorHAnsi" w:cstheme="majorHAnsi"/>
                <w:b/>
              </w:rPr>
              <w:t>–</w:t>
            </w:r>
            <w:r w:rsidRPr="00B8637B">
              <w:rPr>
                <w:rFonts w:asciiTheme="majorHAnsi" w:hAnsiTheme="majorHAnsi" w:cstheme="majorHAnsi"/>
                <w:b/>
              </w:rPr>
              <w:t xml:space="preserve"> </w:t>
            </w:r>
            <w:r w:rsidR="0074356F" w:rsidRPr="00B8637B">
              <w:rPr>
                <w:rFonts w:asciiTheme="majorHAnsi" w:hAnsiTheme="majorHAnsi" w:cstheme="majorHAnsi"/>
                <w:bCs/>
              </w:rPr>
              <w:t>Find solutions to problems</w:t>
            </w:r>
          </w:p>
          <w:p w14:paraId="251C7D23" w14:textId="56498C70" w:rsidR="00CB1468" w:rsidRPr="00B8637B" w:rsidRDefault="00CB1468" w:rsidP="00A51FF3">
            <w:pPr>
              <w:rPr>
                <w:rFonts w:asciiTheme="majorHAnsi" w:hAnsiTheme="majorHAnsi" w:cstheme="majorHAnsi"/>
              </w:rPr>
            </w:pPr>
          </w:p>
        </w:tc>
      </w:tr>
      <w:tr w:rsidR="00C9459A" w:rsidRPr="004A109E" w14:paraId="21627886" w14:textId="77777777" w:rsidTr="00C9459A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3715CD9" w14:textId="77777777" w:rsidR="00C9459A" w:rsidRPr="004A109E" w:rsidRDefault="00C9459A" w:rsidP="00C11F2D">
            <w:pPr>
              <w:spacing w:after="120"/>
              <w:rPr>
                <w:rFonts w:ascii="Calibri" w:hAnsi="Calibri" w:cs="Calibri"/>
                <w:b/>
                <w:color w:val="000000" w:themeColor="text1"/>
              </w:rPr>
            </w:pPr>
            <w:r w:rsidRPr="004A109E">
              <w:rPr>
                <w:rFonts w:ascii="Calibri" w:hAnsi="Calibri" w:cs="Calibri"/>
                <w:b/>
                <w:color w:val="000000" w:themeColor="text1"/>
              </w:rPr>
              <w:t>TASK DESCR</w:t>
            </w:r>
            <w:r>
              <w:rPr>
                <w:rFonts w:ascii="Calibri" w:hAnsi="Calibri" w:cs="Calibri"/>
                <w:b/>
                <w:color w:val="000000" w:themeColor="text1"/>
              </w:rPr>
              <w:t>I</w:t>
            </w:r>
            <w:r w:rsidRPr="004A109E">
              <w:rPr>
                <w:rFonts w:ascii="Calibri" w:hAnsi="Calibri" w:cs="Calibri"/>
                <w:b/>
                <w:color w:val="000000" w:themeColor="text1"/>
              </w:rPr>
              <w:t>PTION:</w:t>
            </w:r>
          </w:p>
          <w:p w14:paraId="4F03BC5C" w14:textId="77777777" w:rsidR="00C9459A" w:rsidRDefault="00C9459A" w:rsidP="00C11F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are to complete a written examination based on Module 1 (Properties and Structure of Matter), Module 2 (Introduction to Quantitative Chemistry), Module 3 (Reactive Chemistry) and Module 4 (Drivers of Reactions).</w:t>
            </w:r>
          </w:p>
          <w:p w14:paraId="5D5DF2DB" w14:textId="77777777" w:rsidR="00C9459A" w:rsidRDefault="00C9459A" w:rsidP="00C11F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The examination will be set out as follows:</w:t>
            </w:r>
          </w:p>
          <w:p w14:paraId="783AA8CD" w14:textId="77777777" w:rsidR="00C9459A" w:rsidRDefault="00C9459A" w:rsidP="00C11F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lastRenderedPageBreak/>
              <w:t>Duration</w:t>
            </w:r>
            <w:r w:rsidRPr="00865BF5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2 hours</w:t>
            </w:r>
          </w:p>
          <w:p w14:paraId="7D6ABA3A" w14:textId="77777777" w:rsidR="00C9459A" w:rsidRDefault="00C9459A" w:rsidP="00C11F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Total marks: 75</w:t>
            </w:r>
          </w:p>
          <w:p w14:paraId="027749B8" w14:textId="77777777" w:rsidR="00C9459A" w:rsidRDefault="00C9459A" w:rsidP="00C11F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Examination consists of the following components:</w:t>
            </w:r>
          </w:p>
          <w:p w14:paraId="3553DB0E" w14:textId="77777777" w:rsidR="00C9459A" w:rsidRDefault="00C9459A" w:rsidP="00C9459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multiple choice questions (20 marks) – worth 1 mark each across all 4 modules</w:t>
            </w:r>
          </w:p>
          <w:p w14:paraId="6D077F4D" w14:textId="77777777" w:rsidR="00C9459A" w:rsidRDefault="00C9459A" w:rsidP="00C9459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and extended responses (55 marks) – ranging from 1-6 marks across all 4 modules</w:t>
            </w:r>
          </w:p>
          <w:p w14:paraId="53ABAE4C" w14:textId="77777777" w:rsidR="00C9459A" w:rsidRDefault="00C9459A" w:rsidP="00C11F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C4A8714" w14:textId="77777777" w:rsidR="00C9459A" w:rsidRDefault="00C9459A" w:rsidP="00C11F2D">
            <w:r>
              <w:rPr>
                <w:rFonts w:ascii="Calibri" w:hAnsi="Calibri" w:cs="Calibri"/>
                <w:color w:val="000000"/>
              </w:rPr>
              <w:t>Students will answer questions as instructed on the examination paper on either the answer sheets or booklets that will be provided.</w:t>
            </w:r>
          </w:p>
          <w:p w14:paraId="522CF291" w14:textId="77777777" w:rsidR="00C9459A" w:rsidRPr="004A109E" w:rsidRDefault="00C9459A" w:rsidP="00C11F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32681919" w14:textId="5E97A11B" w:rsidR="00CE6D0C" w:rsidRPr="00B8637B" w:rsidRDefault="00CE6D0C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C9459A" w:rsidRPr="004A109E" w14:paraId="5E4C962F" w14:textId="77777777" w:rsidTr="00C11F2D">
        <w:trPr>
          <w:trHeight w:val="900"/>
        </w:trPr>
        <w:tc>
          <w:tcPr>
            <w:tcW w:w="10440" w:type="dxa"/>
            <w:tcBorders>
              <w:top w:val="thinThickMediumGap" w:sz="24" w:space="0" w:color="auto"/>
            </w:tcBorders>
          </w:tcPr>
          <w:p w14:paraId="0648BB68" w14:textId="77777777" w:rsidR="00C9459A" w:rsidRDefault="00C9459A" w:rsidP="00C11F2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4A109E">
              <w:rPr>
                <w:rFonts w:ascii="Calibri" w:hAnsi="Calibri" w:cs="Calibri"/>
                <w:b/>
                <w:color w:val="000000" w:themeColor="text1"/>
              </w:rPr>
              <w:t>ASSESSMENT CRITERIA:</w:t>
            </w:r>
          </w:p>
          <w:p w14:paraId="2F4A2F91" w14:textId="77777777" w:rsidR="00C9459A" w:rsidRDefault="00C9459A" w:rsidP="00C11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be </w:t>
            </w:r>
            <w:r w:rsidRPr="00865BF5">
              <w:rPr>
                <w:rFonts w:ascii="Calibri" w:hAnsi="Calibri" w:cs="Calibri"/>
                <w:color w:val="000000"/>
              </w:rPr>
              <w:t xml:space="preserve">assessed in accordance with the allocated mark(s) for each question.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Pr="00865BF5">
              <w:rPr>
                <w:rFonts w:ascii="Calibri" w:hAnsi="Calibri" w:cs="Calibri"/>
                <w:color w:val="000000"/>
              </w:rPr>
              <w:t>marking criteria</w:t>
            </w:r>
            <w:r>
              <w:rPr>
                <w:rFonts w:ascii="Calibri" w:hAnsi="Calibri" w:cs="Calibri"/>
                <w:color w:val="000000"/>
              </w:rPr>
              <w:t xml:space="preserve"> and feedback</w:t>
            </w:r>
            <w:r w:rsidRPr="00865BF5">
              <w:rPr>
                <w:rFonts w:ascii="Calibri" w:hAnsi="Calibri" w:cs="Calibri"/>
                <w:color w:val="000000"/>
              </w:rPr>
              <w:t xml:space="preserve"> will be </w:t>
            </w:r>
            <w:r>
              <w:rPr>
                <w:rFonts w:ascii="Calibri" w:hAnsi="Calibri" w:cs="Calibri"/>
                <w:color w:val="000000"/>
              </w:rPr>
              <w:t>provided</w:t>
            </w:r>
            <w:r w:rsidRPr="00865BF5">
              <w:rPr>
                <w:rFonts w:ascii="Calibri" w:hAnsi="Calibri" w:cs="Calibri"/>
                <w:color w:val="000000"/>
              </w:rPr>
              <w:t xml:space="preserve"> to all students </w:t>
            </w:r>
            <w:r>
              <w:rPr>
                <w:rFonts w:ascii="Calibri" w:hAnsi="Calibri" w:cs="Calibri"/>
                <w:color w:val="000000"/>
              </w:rPr>
              <w:t>on the return of their</w:t>
            </w:r>
            <w:r w:rsidRPr="00865BF5">
              <w:rPr>
                <w:rFonts w:ascii="Calibri" w:hAnsi="Calibri" w:cs="Calibri"/>
                <w:color w:val="000000"/>
              </w:rPr>
              <w:t xml:space="preserve"> examination</w:t>
            </w:r>
            <w:r>
              <w:rPr>
                <w:rFonts w:ascii="Calibri" w:hAnsi="Calibri" w:cs="Calibri"/>
                <w:color w:val="000000"/>
              </w:rPr>
              <w:t xml:space="preserve"> paper</w:t>
            </w:r>
            <w:r w:rsidRPr="00865BF5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All marking will adhere to the struct marking criteria for each question.</w:t>
            </w:r>
          </w:p>
          <w:p w14:paraId="4C0F9CA6" w14:textId="77777777" w:rsidR="00C9459A" w:rsidRDefault="00C9459A" w:rsidP="00C11F2D">
            <w:pPr>
              <w:rPr>
                <w:rFonts w:ascii="Calibri" w:hAnsi="Calibri" w:cs="Calibri"/>
                <w:color w:val="000000"/>
              </w:rPr>
            </w:pPr>
          </w:p>
          <w:p w14:paraId="0DF97761" w14:textId="77777777" w:rsidR="00C9459A" w:rsidRDefault="00C9459A" w:rsidP="00C11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are encouraged to complete regular revision in the lead up to the assessment task, this includes completing CANVAS activities and reviewing available resources, and utilising ATOMI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EdRolo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36658D5F" w14:textId="77777777" w:rsidR="00C9459A" w:rsidRDefault="00C9459A" w:rsidP="00C11F2D">
            <w:pPr>
              <w:rPr>
                <w:rFonts w:ascii="Calibri" w:hAnsi="Calibri" w:cs="Calibri"/>
                <w:color w:val="000000"/>
              </w:rPr>
            </w:pPr>
          </w:p>
          <w:p w14:paraId="70ED33C6" w14:textId="77777777" w:rsidR="00C9459A" w:rsidRDefault="00C9459A" w:rsidP="00C11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Both multiple choice, and short and extended responses will assess the following areas of the syllabus:</w:t>
            </w:r>
          </w:p>
          <w:p w14:paraId="56E830F5" w14:textId="229DBFCD" w:rsidR="00C9459A" w:rsidRPr="00632850" w:rsidRDefault="00C9459A" w:rsidP="0063285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1: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</w:rPr>
              <w:t>How is the motion of an object moving in a straight line described and predicted?</w:t>
            </w:r>
          </w:p>
          <w:p w14:paraId="24AB14C7" w14:textId="5394D22D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1: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is the motion of an object that changes its direction of movement on a plane described?</w:t>
            </w:r>
          </w:p>
          <w:p w14:paraId="658055C1" w14:textId="3B1CB4D7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are forces produced between objects and what effects do forces produce?</w:t>
            </w:r>
          </w:p>
          <w:p w14:paraId="0766AF33" w14:textId="778D3C57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can the motion of objects be explained and analysed?</w:t>
            </w:r>
          </w:p>
          <w:p w14:paraId="095BE217" w14:textId="4ED3618E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is the motion of objects in a simple system dependent on the interaction between the objects?</w:t>
            </w:r>
          </w:p>
          <w:p w14:paraId="24FD466D" w14:textId="538F64C3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What are the properties of all waves and wave motion?</w:t>
            </w:r>
          </w:p>
          <w:p w14:paraId="238394AC" w14:textId="2CDEA64A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do waves behave?</w:t>
            </w:r>
          </w:p>
          <w:p w14:paraId="09EB527E" w14:textId="72F2181E" w:rsidR="00C9459A" w:rsidRPr="00632850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What evidence suggests that sound is a mechanical wave?</w:t>
            </w:r>
          </w:p>
          <w:p w14:paraId="3010FEAF" w14:textId="20883199" w:rsidR="00632850" w:rsidRPr="00632850" w:rsidRDefault="00632850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>Inquiry question: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32850">
              <w:rPr>
                <w:rFonts w:asciiTheme="majorHAnsi" w:hAnsiTheme="majorHAnsi" w:cstheme="majorHAnsi"/>
                <w:bCs/>
              </w:rPr>
              <w:t>What properties can be demonstrated when using the ray model of light?</w:t>
            </w:r>
          </w:p>
          <w:p w14:paraId="22EDE7DF" w14:textId="0D72C850" w:rsidR="00632850" w:rsidRPr="0024068F" w:rsidRDefault="00632850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>Inquiry question: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32850">
              <w:rPr>
                <w:rFonts w:asciiTheme="majorHAnsi" w:hAnsiTheme="majorHAnsi" w:cstheme="majorHAnsi"/>
                <w:bCs/>
              </w:rPr>
              <w:t>How are temperature, thermal energy and particle motion related?</w:t>
            </w:r>
          </w:p>
          <w:p w14:paraId="23C8749B" w14:textId="3CB1F84F" w:rsidR="00C9459A" w:rsidRPr="00632850" w:rsidRDefault="00C9459A" w:rsidP="0063285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do charged objects interact with other charged objects and with neutral objects?</w:t>
            </w:r>
          </w:p>
          <w:p w14:paraId="5C2E2710" w14:textId="4CC2ED07" w:rsidR="00C9459A" w:rsidRPr="0024068F" w:rsidRDefault="00C9459A" w:rsidP="00C945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>Inquiry question:</w:t>
            </w:r>
            <w:r w:rsidRPr="0024068F">
              <w:rPr>
                <w:rFonts w:asciiTheme="majorHAnsi" w:hAnsiTheme="majorHAnsi" w:cstheme="majorHAnsi"/>
              </w:rPr>
              <w:t xml:space="preserve"> </w:t>
            </w:r>
            <w:r w:rsidR="00632850" w:rsidRPr="00632850">
              <w:rPr>
                <w:rFonts w:asciiTheme="majorHAnsi" w:hAnsiTheme="majorHAnsi" w:cstheme="majorHAnsi"/>
              </w:rPr>
              <w:t>How do the processes of the transfer and the transformation of energy occur in electric circuits?</w:t>
            </w:r>
          </w:p>
          <w:p w14:paraId="719D78F6" w14:textId="3FA2BE0E" w:rsidR="00C9459A" w:rsidRPr="00632850" w:rsidRDefault="00C9459A" w:rsidP="0063285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>Inquiry question:</w:t>
            </w:r>
            <w:r w:rsidR="00632850">
              <w:rPr>
                <w:rFonts w:asciiTheme="majorHAnsi" w:hAnsiTheme="majorHAnsi" w:cstheme="majorHAnsi"/>
                <w:b/>
              </w:rPr>
              <w:t xml:space="preserve"> </w:t>
            </w:r>
            <w:r w:rsidR="00632850" w:rsidRPr="00632850">
              <w:rPr>
                <w:rFonts w:asciiTheme="majorHAnsi" w:hAnsiTheme="majorHAnsi" w:cstheme="majorHAnsi"/>
                <w:bCs/>
              </w:rPr>
              <w:t>How do magnetised and magnetic objects interact?</w:t>
            </w:r>
            <w:r w:rsidRPr="00632850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13661A4" w14:textId="77777777" w:rsidR="00C9459A" w:rsidRPr="00042E45" w:rsidRDefault="00C9459A" w:rsidP="00C11F2D">
            <w:pPr>
              <w:rPr>
                <w:rFonts w:ascii="Calibri" w:hAnsi="Calibri" w:cs="Calibri"/>
              </w:rPr>
            </w:pPr>
          </w:p>
        </w:tc>
      </w:tr>
    </w:tbl>
    <w:p w14:paraId="7A0C7E85" w14:textId="77777777" w:rsidR="00CE6D0C" w:rsidRPr="00B8637B" w:rsidRDefault="00CE6D0C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491FDFBF" w14:textId="77777777" w:rsidR="000A6BC5" w:rsidRPr="00B8637B" w:rsidRDefault="000A6BC5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66D77C60" w14:textId="39F356B8" w:rsidR="000A6BC5" w:rsidRPr="00B8637B" w:rsidRDefault="000A6BC5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47529FD1" w14:textId="05FC5380" w:rsidR="00152ADB" w:rsidRPr="00B8637B" w:rsidRDefault="00152ADB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0433B" w:rsidRPr="0020433B" w14:paraId="3055CA58" w14:textId="77777777" w:rsidTr="0020433B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2E73" w14:textId="3C81C7E3" w:rsidR="00CE6D0C" w:rsidRPr="0020433B" w:rsidRDefault="00CE6D0C" w:rsidP="000716D4">
            <w:pPr>
              <w:pStyle w:val="BasicParagraph"/>
              <w:rPr>
                <w:rFonts w:ascii="ArialMT" w:hAnsi="ArialMT" w:cs="ArialMT"/>
                <w:color w:val="FFFFFF" w:themeColor="background1"/>
                <w:sz w:val="32"/>
                <w:szCs w:val="16"/>
              </w:rPr>
            </w:pPr>
            <w:r w:rsidRPr="0020433B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OUTCOME BREAKDOWN</w:t>
            </w:r>
          </w:p>
        </w:tc>
      </w:tr>
      <w:tr w:rsidR="0020433B" w:rsidRPr="0020433B" w14:paraId="3D5DCF6B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6044" w14:textId="5E663CAA" w:rsidR="00CE6D0C" w:rsidRPr="0020433B" w:rsidRDefault="00CE6D0C" w:rsidP="00B8637B">
            <w:pPr>
              <w:pStyle w:val="BasicParagraph"/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  <w:t>Outcome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A09C9" w14:textId="0CA9D345" w:rsidR="00CE6D0C" w:rsidRPr="0020433B" w:rsidRDefault="00CE6D0C" w:rsidP="00B8637B">
            <w:pPr>
              <w:pStyle w:val="BasicParagraph"/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  <w:t>Parts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523D" w14:textId="7A4E7A25" w:rsidR="00CE6D0C" w:rsidRPr="0020433B" w:rsidRDefault="00CE6D0C" w:rsidP="00B8637B">
            <w:pPr>
              <w:pStyle w:val="BasicParagraph"/>
              <w:jc w:val="right"/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b/>
                <w:color w:val="FFFFFF" w:themeColor="background1"/>
                <w:sz w:val="26"/>
                <w:szCs w:val="16"/>
              </w:rPr>
              <w:t>Marks</w:t>
            </w:r>
          </w:p>
        </w:tc>
      </w:tr>
      <w:tr w:rsidR="0020433B" w:rsidRPr="0020433B" w14:paraId="058FE03B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0CDE" w14:textId="073DB68B" w:rsidR="00CE6D0C" w:rsidRPr="0020433B" w:rsidRDefault="00CE6D0C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PH11-1</w:t>
            </w:r>
            <w:r w:rsidR="001D63CA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 </w:t>
            </w:r>
            <w:r w:rsidR="00B8637B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              </w:t>
            </w:r>
            <w:r w:rsidR="001D63CA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(</w:t>
            </w:r>
            <w:r w:rsidR="00B8637B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            </w:t>
            </w:r>
            <w:r w:rsidR="001D63CA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/4</w:t>
            </w:r>
            <w:r w:rsidR="00BE4F06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9880D" w14:textId="74369C57" w:rsidR="00CE6D0C" w:rsidRPr="0020433B" w:rsidRDefault="00F412DB" w:rsidP="00FF4471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</w:t>
            </w:r>
            <w:r w:rsidR="009D6C7A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: </w:t>
            </w:r>
            <w:r w:rsidR="00FF4471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Aim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27AC" w14:textId="4FA17F67" w:rsidR="00CE6D0C" w:rsidRPr="0020433B" w:rsidRDefault="001D63CA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</w:t>
            </w:r>
            <w:r w:rsidR="00FF4471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2</w:t>
            </w:r>
          </w:p>
        </w:tc>
      </w:tr>
      <w:tr w:rsidR="0020433B" w:rsidRPr="0020433B" w14:paraId="13FE877E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8A949" w14:textId="77777777" w:rsidR="00FF4471" w:rsidRPr="0020433B" w:rsidRDefault="00FF4471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3AC0" w14:textId="1D5A8F10" w:rsidR="00FF4471" w:rsidRPr="0020433B" w:rsidRDefault="00F412DB" w:rsidP="00FF4471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</w:t>
            </w:r>
            <w:r w:rsidR="00FF4471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: Hypothesis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9A70" w14:textId="2A1062A6" w:rsidR="00FF4471" w:rsidRPr="0020433B" w:rsidRDefault="00FF4471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2150CA8F" w14:textId="77777777" w:rsidTr="0020433B"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9FCE4" w14:textId="6B4CAAA3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PH11-2               (            /5)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9F47" w14:textId="152D2951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Method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648BA" w14:textId="31AABEFB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/3</w:t>
            </w:r>
          </w:p>
        </w:tc>
      </w:tr>
      <w:tr w:rsidR="0020433B" w:rsidRPr="0020433B" w14:paraId="320CFCE1" w14:textId="77777777" w:rsidTr="0020433B"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9243" w14:textId="77777777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E4AB" w14:textId="6C6B3E34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Conclusion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1CCE" w14:textId="456B7A01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3484F787" w14:textId="77777777" w:rsidTr="0020433B"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08E6" w14:textId="152DCCAB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PH11-3                (           /4)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2C22" w14:textId="071D23AA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Results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E040" w14:textId="0191C231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0F989784" w14:textId="77777777" w:rsidTr="0020433B"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CEAE" w14:textId="77777777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DE4D9" w14:textId="65C4B8F0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References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10138" w14:textId="4D16FAEF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62F1AFFC" w14:textId="77777777" w:rsidTr="0020433B"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215" w14:textId="75F6E6DE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PH11</w:t>
            </w:r>
            <w:r w:rsidR="001660E7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-4                (           /3</w:t>
            </w: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D322" w14:textId="7EEE8320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Results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6A195" w14:textId="6F84855F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/1</w:t>
            </w:r>
          </w:p>
        </w:tc>
      </w:tr>
      <w:tr w:rsidR="0020433B" w:rsidRPr="0020433B" w14:paraId="2D1B43C6" w14:textId="77777777" w:rsidTr="0020433B"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88B28" w14:textId="77777777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30C8" w14:textId="5B614E01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References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F4BC9" w14:textId="394462AF" w:rsidR="00B8637B" w:rsidRPr="0020433B" w:rsidRDefault="00F412DB" w:rsidP="001660E7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</w:t>
            </w:r>
            <w:r w:rsidR="001660E7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2</w:t>
            </w:r>
          </w:p>
        </w:tc>
      </w:tr>
      <w:tr w:rsidR="0020433B" w:rsidRPr="0020433B" w14:paraId="324E8DB0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4D163" w14:textId="26356A69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PH11</w:t>
            </w:r>
            <w:r w:rsidR="00F412DB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-5                (           /3</w:t>
            </w: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17889" w14:textId="1B55F08C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Discussion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1B1B" w14:textId="6D5EDF00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/3</w:t>
            </w:r>
          </w:p>
        </w:tc>
      </w:tr>
      <w:tr w:rsidR="0020433B" w:rsidRPr="0020433B" w14:paraId="0635F347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5B45D" w14:textId="0AB3B5A5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PH11-6                (           </w:t>
            </w:r>
            <w:r w:rsidR="001660E7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/6</w:t>
            </w: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2DED" w14:textId="1BDB5FEE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A: Model Design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FAFBF" w14:textId="1F6B30BE" w:rsidR="00B8637B" w:rsidRPr="0020433B" w:rsidRDefault="001660E7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/6</w:t>
            </w:r>
          </w:p>
        </w:tc>
      </w:tr>
      <w:tr w:rsidR="0020433B" w:rsidRPr="0020433B" w14:paraId="008F4FBC" w14:textId="77777777" w:rsidTr="0020433B"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75205" w14:textId="3782F22E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PH11-7                (           </w:t>
            </w:r>
            <w:r w:rsidR="001660E7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/5</w:t>
            </w: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2BC2" w14:textId="06F7977F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Abstract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962E" w14:textId="4A7D2E1D" w:rsidR="00B8637B" w:rsidRPr="0020433B" w:rsidRDefault="001660E7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3ABB7F8E" w14:textId="77777777" w:rsidTr="0020433B"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63A9" w14:textId="77777777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3D1D" w14:textId="00709977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Conclusion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F389C" w14:textId="0633723B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/3</w:t>
            </w:r>
          </w:p>
        </w:tc>
      </w:tr>
      <w:tr w:rsidR="0020433B" w:rsidRPr="0020433B" w14:paraId="79E5271B" w14:textId="77777777" w:rsidTr="0020433B"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3CA0" w14:textId="208B4CEF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PH</w:t>
            </w:r>
            <w:r w:rsidR="001660E7"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11-10               (        /15</w:t>
            </w: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)</w:t>
            </w:r>
          </w:p>
          <w:p w14:paraId="796BEC03" w14:textId="54248DE8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2CD2" w14:textId="725D660D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A: Model Design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4657" w14:textId="03B239F3" w:rsidR="00B8637B" w:rsidRPr="0020433B" w:rsidRDefault="00B8637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/5</w:t>
            </w:r>
          </w:p>
        </w:tc>
      </w:tr>
      <w:tr w:rsidR="0020433B" w:rsidRPr="0020433B" w14:paraId="39EE650F" w14:textId="77777777" w:rsidTr="0020433B"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C1640" w14:textId="1E2FD424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75E8" w14:textId="5BB23162" w:rsidR="00B8637B" w:rsidRPr="0020433B" w:rsidRDefault="00B8637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Discussion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2B42" w14:textId="76A4842A" w:rsidR="00B8637B" w:rsidRPr="0020433B" w:rsidRDefault="00F412D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/8</w:t>
            </w:r>
          </w:p>
        </w:tc>
      </w:tr>
      <w:tr w:rsidR="0020433B" w:rsidRPr="0020433B" w14:paraId="55A93829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0F69" w14:textId="77777777" w:rsidR="00F412DB" w:rsidRPr="0020433B" w:rsidRDefault="00F412D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119A" w14:textId="3FEF8F04" w:rsidR="00F412DB" w:rsidRPr="0020433B" w:rsidRDefault="00F412D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References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0E58" w14:textId="2EA2FDD3" w:rsidR="00F412DB" w:rsidRPr="0020433B" w:rsidRDefault="00F412D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/2</w:t>
            </w:r>
          </w:p>
        </w:tc>
      </w:tr>
      <w:tr w:rsidR="0020433B" w:rsidRPr="0020433B" w14:paraId="621983F8" w14:textId="77777777" w:rsidTr="0020433B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1902" w14:textId="218D8F17" w:rsidR="00F412DB" w:rsidRPr="0020433B" w:rsidRDefault="001660E7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A: 15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37F9" w14:textId="75E433AE" w:rsidR="00F412DB" w:rsidRPr="0020433B" w:rsidRDefault="00F412DB" w:rsidP="00B8637B">
            <w:pPr>
              <w:pStyle w:val="BasicParagraph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018E" w14:textId="47463DF8" w:rsidR="00F412DB" w:rsidRPr="0020433B" w:rsidRDefault="00F412DB" w:rsidP="00B8637B">
            <w:pPr>
              <w:pStyle w:val="BasicParagraph"/>
              <w:jc w:val="right"/>
              <w:rPr>
                <w:rFonts w:ascii="ArialMT" w:hAnsi="ArialMT" w:cs="ArialMT"/>
                <w:color w:val="FFFFFF" w:themeColor="background1"/>
                <w:sz w:val="26"/>
                <w:szCs w:val="16"/>
              </w:rPr>
            </w:pPr>
            <w:r w:rsidRPr="0020433B">
              <w:rPr>
                <w:rFonts w:ascii="ArialMT" w:hAnsi="ArialMT" w:cs="ArialMT"/>
                <w:color w:val="FFFFFF" w:themeColor="background1"/>
                <w:sz w:val="26"/>
                <w:szCs w:val="16"/>
              </w:rPr>
              <w:t>Part B: 30</w:t>
            </w:r>
          </w:p>
        </w:tc>
      </w:tr>
    </w:tbl>
    <w:p w14:paraId="3C1C04B5" w14:textId="77777777" w:rsidR="00CE6D0C" w:rsidRPr="00B8637B" w:rsidRDefault="00CE6D0C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sectPr w:rsidR="00CE6D0C" w:rsidRPr="00B8637B" w:rsidSect="008E0C3E">
      <w:headerReference w:type="first" r:id="rId11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7EFA" w14:textId="77777777" w:rsidR="008110E2" w:rsidRDefault="008110E2" w:rsidP="00825FCE">
      <w:r>
        <w:separator/>
      </w:r>
    </w:p>
  </w:endnote>
  <w:endnote w:type="continuationSeparator" w:id="0">
    <w:p w14:paraId="3A8C827C" w14:textId="77777777" w:rsidR="008110E2" w:rsidRDefault="008110E2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C8F0" w14:textId="77777777" w:rsidR="008110E2" w:rsidRDefault="008110E2" w:rsidP="00825FCE">
      <w:r>
        <w:separator/>
      </w:r>
    </w:p>
  </w:footnote>
  <w:footnote w:type="continuationSeparator" w:id="0">
    <w:p w14:paraId="3BBDF3C0" w14:textId="77777777" w:rsidR="008110E2" w:rsidRDefault="008110E2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61B" w14:textId="77777777" w:rsidR="00E82D3A" w:rsidRDefault="00A11F58">
    <w:pPr>
      <w:pStyle w:val="Header"/>
    </w:pPr>
    <w:r>
      <w:rPr>
        <w:noProof/>
      </w:rPr>
      <w:pict w14:anchorId="2974F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E12"/>
    <w:multiLevelType w:val="hybridMultilevel"/>
    <w:tmpl w:val="B4A0E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64B6A"/>
    <w:multiLevelType w:val="multilevel"/>
    <w:tmpl w:val="AE32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56906"/>
    <w:multiLevelType w:val="hybridMultilevel"/>
    <w:tmpl w:val="3B58F8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223BD"/>
    <w:multiLevelType w:val="hybridMultilevel"/>
    <w:tmpl w:val="63E4B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16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25"/>
    <w:rsid w:val="00027D14"/>
    <w:rsid w:val="00054B10"/>
    <w:rsid w:val="000716D4"/>
    <w:rsid w:val="00072CBF"/>
    <w:rsid w:val="000739F1"/>
    <w:rsid w:val="000809A8"/>
    <w:rsid w:val="00082474"/>
    <w:rsid w:val="00095F56"/>
    <w:rsid w:val="000A6BC5"/>
    <w:rsid w:val="000B2E46"/>
    <w:rsid w:val="000E3DE6"/>
    <w:rsid w:val="00152A6E"/>
    <w:rsid w:val="00152ADB"/>
    <w:rsid w:val="001660E7"/>
    <w:rsid w:val="00167F43"/>
    <w:rsid w:val="00180502"/>
    <w:rsid w:val="001B7FAA"/>
    <w:rsid w:val="001D63CA"/>
    <w:rsid w:val="001E20FC"/>
    <w:rsid w:val="001E651B"/>
    <w:rsid w:val="0020433B"/>
    <w:rsid w:val="00204D25"/>
    <w:rsid w:val="00224FE5"/>
    <w:rsid w:val="00233EB2"/>
    <w:rsid w:val="002348B0"/>
    <w:rsid w:val="00254D5B"/>
    <w:rsid w:val="002B2908"/>
    <w:rsid w:val="003021C3"/>
    <w:rsid w:val="003447F6"/>
    <w:rsid w:val="003620A8"/>
    <w:rsid w:val="00381C67"/>
    <w:rsid w:val="003838D7"/>
    <w:rsid w:val="003903E6"/>
    <w:rsid w:val="003A157E"/>
    <w:rsid w:val="003A7794"/>
    <w:rsid w:val="004120D9"/>
    <w:rsid w:val="00412C61"/>
    <w:rsid w:val="00416494"/>
    <w:rsid w:val="004B2528"/>
    <w:rsid w:val="004B291A"/>
    <w:rsid w:val="004B61AB"/>
    <w:rsid w:val="00502152"/>
    <w:rsid w:val="00503770"/>
    <w:rsid w:val="00514113"/>
    <w:rsid w:val="00546E23"/>
    <w:rsid w:val="00550FC8"/>
    <w:rsid w:val="005737D1"/>
    <w:rsid w:val="00587C11"/>
    <w:rsid w:val="00595E31"/>
    <w:rsid w:val="005B236F"/>
    <w:rsid w:val="005E248F"/>
    <w:rsid w:val="005E2C3D"/>
    <w:rsid w:val="005F55A3"/>
    <w:rsid w:val="00603123"/>
    <w:rsid w:val="00632850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4356F"/>
    <w:rsid w:val="007616AC"/>
    <w:rsid w:val="00781065"/>
    <w:rsid w:val="00782352"/>
    <w:rsid w:val="00782830"/>
    <w:rsid w:val="00787B0B"/>
    <w:rsid w:val="007D62B2"/>
    <w:rsid w:val="008077E5"/>
    <w:rsid w:val="008110E2"/>
    <w:rsid w:val="00816034"/>
    <w:rsid w:val="008250AF"/>
    <w:rsid w:val="00825FCE"/>
    <w:rsid w:val="00846272"/>
    <w:rsid w:val="008465CB"/>
    <w:rsid w:val="00891E79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D6C7A"/>
    <w:rsid w:val="009F20A0"/>
    <w:rsid w:val="00A11F58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705"/>
    <w:rsid w:val="00AF4A7B"/>
    <w:rsid w:val="00B403A5"/>
    <w:rsid w:val="00B4437B"/>
    <w:rsid w:val="00B53E9F"/>
    <w:rsid w:val="00B54899"/>
    <w:rsid w:val="00B6576E"/>
    <w:rsid w:val="00B8637B"/>
    <w:rsid w:val="00BA1023"/>
    <w:rsid w:val="00BA407C"/>
    <w:rsid w:val="00BA4E9F"/>
    <w:rsid w:val="00BC32DF"/>
    <w:rsid w:val="00BE4F06"/>
    <w:rsid w:val="00C038F7"/>
    <w:rsid w:val="00C04464"/>
    <w:rsid w:val="00C213EE"/>
    <w:rsid w:val="00C57BB5"/>
    <w:rsid w:val="00C64647"/>
    <w:rsid w:val="00C81889"/>
    <w:rsid w:val="00C8331D"/>
    <w:rsid w:val="00C9459A"/>
    <w:rsid w:val="00CA36D6"/>
    <w:rsid w:val="00CB1468"/>
    <w:rsid w:val="00CD01E0"/>
    <w:rsid w:val="00CE6D0C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E36BB1"/>
    <w:rsid w:val="00E4181C"/>
    <w:rsid w:val="00E45B93"/>
    <w:rsid w:val="00E729C6"/>
    <w:rsid w:val="00E82D3A"/>
    <w:rsid w:val="00EA721B"/>
    <w:rsid w:val="00EB3925"/>
    <w:rsid w:val="00EC531F"/>
    <w:rsid w:val="00F01BAD"/>
    <w:rsid w:val="00F20036"/>
    <w:rsid w:val="00F31F11"/>
    <w:rsid w:val="00F37189"/>
    <w:rsid w:val="00F412DB"/>
    <w:rsid w:val="00F43810"/>
    <w:rsid w:val="00F66CBB"/>
    <w:rsid w:val="00FA6CC0"/>
    <w:rsid w:val="00FB2AC8"/>
    <w:rsid w:val="00FF4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CCCCF"/>
  <w15:docId w15:val="{C2DAA631-18F9-4AD4-9B66-5CD1DC7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C945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gan%20Corliss\Downloads\Assessment%20Task%20Proforma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C2FB-EB5C-4344-96F0-477ECCA0CFA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945365-0443-4c36-9a63-c127e3ad42e0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2c126f7b-c95c-437e-8427-38f32f6d02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9152E2-12CB-421B-AC71-77C4BB16C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2827C-2FF2-4E4D-B462-B3C13269C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698E8-5CEB-488B-A50F-75A3D302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 (1) (1)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 Corliss</dc:creator>
  <cp:lastModifiedBy>Vicki FREER</cp:lastModifiedBy>
  <cp:revision>2</cp:revision>
  <cp:lastPrinted>2023-08-17T00:14:00Z</cp:lastPrinted>
  <dcterms:created xsi:type="dcterms:W3CDTF">2023-08-17T00:15:00Z</dcterms:created>
  <dcterms:modified xsi:type="dcterms:W3CDTF">2023-08-17T00:15:00Z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