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AD1BE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  <w:bookmarkStart w:id="0" w:name="_GoBack"/>
      <w:bookmarkEnd w:id="0"/>
    </w:p>
    <w:p w14:paraId="6A4D16A6" w14:textId="77777777" w:rsidR="000716D4" w:rsidRPr="008E0C3E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30"/>
          <w:szCs w:val="52"/>
        </w:rPr>
      </w:pPr>
    </w:p>
    <w:p w14:paraId="2A6ADA16" w14:textId="1059934A" w:rsidR="00E82D3A" w:rsidRPr="007403E6" w:rsidRDefault="007403E6" w:rsidP="00E82D3A">
      <w:pPr>
        <w:jc w:val="center"/>
        <w:rPr>
          <w:rFonts w:asciiTheme="majorHAnsi" w:hAnsiTheme="majorHAnsi"/>
          <w:sz w:val="56"/>
          <w:szCs w:val="56"/>
        </w:rPr>
      </w:pPr>
      <w:r w:rsidRPr="007403E6">
        <w:rPr>
          <w:rFonts w:asciiTheme="majorHAnsi" w:hAnsiTheme="majorHAnsi" w:cstheme="majorHAnsi"/>
          <w:sz w:val="56"/>
          <w:szCs w:val="56"/>
        </w:rPr>
        <w:t xml:space="preserve">Year 11 </w:t>
      </w:r>
      <w:r w:rsidR="00E35F20">
        <w:rPr>
          <w:rFonts w:asciiTheme="majorHAnsi" w:hAnsiTheme="majorHAnsi" w:cstheme="majorHAnsi"/>
          <w:sz w:val="56"/>
          <w:szCs w:val="56"/>
        </w:rPr>
        <w:t>Standard</w:t>
      </w:r>
      <w:r w:rsidRPr="007403E6">
        <w:rPr>
          <w:rFonts w:asciiTheme="majorHAnsi" w:hAnsiTheme="majorHAnsi" w:cstheme="majorHAnsi"/>
          <w:sz w:val="56"/>
          <w:szCs w:val="56"/>
        </w:rPr>
        <w:t xml:space="preserve"> English</w:t>
      </w:r>
    </w:p>
    <w:p w14:paraId="603D5A87" w14:textId="2AA3F6D6" w:rsidR="00E82D3A" w:rsidRPr="007403E6" w:rsidRDefault="007403E6" w:rsidP="00E82D3A">
      <w:pPr>
        <w:jc w:val="center"/>
        <w:rPr>
          <w:rFonts w:asciiTheme="majorHAnsi" w:hAnsiTheme="majorHAnsi"/>
          <w:sz w:val="56"/>
          <w:szCs w:val="56"/>
        </w:rPr>
      </w:pPr>
      <w:r w:rsidRPr="007403E6">
        <w:rPr>
          <w:rFonts w:asciiTheme="majorHAnsi" w:hAnsiTheme="majorHAnsi"/>
          <w:sz w:val="56"/>
          <w:szCs w:val="56"/>
        </w:rPr>
        <w:t>Yearly Examination</w:t>
      </w:r>
      <w:r w:rsidR="00E82D3A" w:rsidRPr="007403E6">
        <w:rPr>
          <w:rFonts w:asciiTheme="majorHAnsi" w:hAnsiTheme="majorHAnsi"/>
          <w:sz w:val="56"/>
          <w:szCs w:val="56"/>
        </w:rPr>
        <w:t xml:space="preserve"> </w:t>
      </w:r>
      <w:r w:rsidR="00832087" w:rsidRPr="007403E6">
        <w:rPr>
          <w:rFonts w:asciiTheme="majorHAnsi" w:hAnsiTheme="majorHAnsi"/>
          <w:sz w:val="56"/>
          <w:szCs w:val="56"/>
        </w:rPr>
        <w:t>202</w:t>
      </w:r>
      <w:r w:rsidR="00881538">
        <w:rPr>
          <w:rFonts w:asciiTheme="majorHAnsi" w:hAnsiTheme="majorHAnsi"/>
          <w:sz w:val="56"/>
          <w:szCs w:val="56"/>
        </w:rPr>
        <w:t>3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C57BB5" w14:paraId="62A8A82D" w14:textId="77777777" w:rsidTr="00C57BB5">
        <w:tc>
          <w:tcPr>
            <w:tcW w:w="10676" w:type="dxa"/>
            <w:vAlign w:val="center"/>
          </w:tcPr>
          <w:p w14:paraId="2CC6D366" w14:textId="77777777" w:rsidR="00E4181C" w:rsidRPr="00C57BB5" w:rsidRDefault="00E4181C" w:rsidP="00DB61B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8"/>
        <w:gridCol w:w="3324"/>
      </w:tblGrid>
      <w:tr w:rsidR="00503770" w:rsidRPr="00503770" w14:paraId="78CE19E6" w14:textId="77777777" w:rsidTr="2FDDC1DA">
        <w:trPr>
          <w:trHeight w:val="592"/>
        </w:trPr>
        <w:tc>
          <w:tcPr>
            <w:tcW w:w="7088" w:type="dxa"/>
          </w:tcPr>
          <w:p w14:paraId="7B48A20E" w14:textId="60355BF4" w:rsidR="00503770" w:rsidRPr="00503770" w:rsidRDefault="00503770" w:rsidP="00A51FF3">
            <w:pPr>
              <w:jc w:val="both"/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TOPIC</w:t>
            </w:r>
            <w:r w:rsidRPr="00503770">
              <w:rPr>
                <w:rFonts w:asciiTheme="majorHAnsi" w:hAnsiTheme="majorHAnsi" w:cstheme="majorHAnsi"/>
              </w:rPr>
              <w:t xml:space="preserve">: </w:t>
            </w:r>
            <w:r w:rsidR="007403E6">
              <w:rPr>
                <w:rFonts w:asciiTheme="majorHAnsi" w:hAnsiTheme="majorHAnsi" w:cstheme="majorHAnsi"/>
              </w:rPr>
              <w:t>Yearly Examination</w:t>
            </w:r>
          </w:p>
        </w:tc>
        <w:tc>
          <w:tcPr>
            <w:tcW w:w="3352" w:type="dxa"/>
          </w:tcPr>
          <w:p w14:paraId="2C7DFFE1" w14:textId="29AABE44" w:rsidR="00503770" w:rsidRPr="007403E6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403E6">
              <w:rPr>
                <w:rFonts w:asciiTheme="majorHAnsi" w:hAnsiTheme="majorHAnsi" w:cstheme="majorHAnsi"/>
                <w:b/>
              </w:rPr>
              <w:t>MARKS:</w:t>
            </w:r>
            <w:r w:rsidRPr="007403E6">
              <w:rPr>
                <w:rFonts w:asciiTheme="majorHAnsi" w:hAnsiTheme="majorHAnsi" w:cstheme="majorHAnsi"/>
              </w:rPr>
              <w:tab/>
              <w:t>/</w:t>
            </w:r>
            <w:r w:rsidR="007403E6" w:rsidRPr="007403E6">
              <w:rPr>
                <w:rFonts w:asciiTheme="majorHAnsi" w:hAnsiTheme="majorHAnsi" w:cstheme="majorHAnsi"/>
              </w:rPr>
              <w:t>55</w:t>
            </w:r>
            <w:r w:rsidRPr="007403E6">
              <w:rPr>
                <w:rFonts w:asciiTheme="majorHAnsi" w:hAnsiTheme="majorHAnsi" w:cstheme="majorHAnsi"/>
              </w:rPr>
              <w:tab/>
            </w:r>
          </w:p>
        </w:tc>
      </w:tr>
      <w:tr w:rsidR="00503770" w:rsidRPr="00503770" w14:paraId="4BDAE7CF" w14:textId="77777777" w:rsidTr="2FDDC1DA">
        <w:trPr>
          <w:trHeight w:val="686"/>
        </w:trPr>
        <w:tc>
          <w:tcPr>
            <w:tcW w:w="7088" w:type="dxa"/>
          </w:tcPr>
          <w:p w14:paraId="15C4917B" w14:textId="77777777" w:rsidR="00CB1468" w:rsidRDefault="00503770" w:rsidP="00A51FF3">
            <w:pPr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SUBMISSION REQUIREMENTS:</w:t>
            </w:r>
            <w:r w:rsidRPr="00503770">
              <w:rPr>
                <w:rFonts w:asciiTheme="majorHAnsi" w:hAnsiTheme="majorHAnsi" w:cstheme="majorHAnsi"/>
              </w:rPr>
              <w:t xml:space="preserve"> </w:t>
            </w:r>
          </w:p>
          <w:p w14:paraId="3D458890" w14:textId="77777777" w:rsidR="007D37B6" w:rsidRDefault="007D37B6" w:rsidP="007D37B6">
            <w:pPr>
              <w:rPr>
                <w:rFonts w:asciiTheme="majorHAnsi" w:hAnsiTheme="majorHAnsi" w:cstheme="majorHAnsi"/>
              </w:rPr>
            </w:pPr>
          </w:p>
          <w:p w14:paraId="521B5069" w14:textId="5A318A27" w:rsidR="007D37B6" w:rsidRDefault="007D37B6" w:rsidP="2FDDC1DA">
            <w:pPr>
              <w:rPr>
                <w:rFonts w:asciiTheme="majorHAnsi" w:hAnsiTheme="majorHAnsi" w:cstheme="majorBidi"/>
              </w:rPr>
            </w:pPr>
            <w:r w:rsidRPr="2FDDC1DA">
              <w:rPr>
                <w:rFonts w:asciiTheme="majorHAnsi" w:hAnsiTheme="majorHAnsi" w:cstheme="majorBidi"/>
              </w:rPr>
              <w:t>Monday 1</w:t>
            </w:r>
            <w:r w:rsidR="00D02857">
              <w:rPr>
                <w:rFonts w:asciiTheme="majorHAnsi" w:hAnsiTheme="majorHAnsi" w:cstheme="majorBidi"/>
              </w:rPr>
              <w:t>1</w:t>
            </w:r>
            <w:r w:rsidRPr="2FDDC1DA">
              <w:rPr>
                <w:rFonts w:asciiTheme="majorHAnsi" w:hAnsiTheme="majorHAnsi" w:cstheme="majorBidi"/>
                <w:vertAlign w:val="superscript"/>
              </w:rPr>
              <w:t>th</w:t>
            </w:r>
            <w:r w:rsidRPr="2FDDC1DA">
              <w:rPr>
                <w:rFonts w:asciiTheme="majorHAnsi" w:hAnsiTheme="majorHAnsi" w:cstheme="majorBidi"/>
              </w:rPr>
              <w:t xml:space="preserve"> September 202</w:t>
            </w:r>
            <w:r w:rsidR="00D02857">
              <w:rPr>
                <w:rFonts w:asciiTheme="majorHAnsi" w:hAnsiTheme="majorHAnsi" w:cstheme="majorBidi"/>
              </w:rPr>
              <w:t>3</w:t>
            </w:r>
            <w:r w:rsidRPr="2FDDC1DA">
              <w:rPr>
                <w:rFonts w:asciiTheme="majorHAnsi" w:hAnsiTheme="majorHAnsi" w:cstheme="majorBidi"/>
              </w:rPr>
              <w:t xml:space="preserve"> (Week 9). To be completed under examination conditions in the CHS Hall.</w:t>
            </w:r>
          </w:p>
          <w:p w14:paraId="7AF412D4" w14:textId="77777777" w:rsidR="007D37B6" w:rsidRDefault="007D37B6" w:rsidP="007D37B6">
            <w:pPr>
              <w:rPr>
                <w:rFonts w:asciiTheme="majorHAnsi" w:hAnsiTheme="majorHAnsi" w:cstheme="majorHAnsi"/>
              </w:rPr>
            </w:pPr>
          </w:p>
          <w:p w14:paraId="7CE8A980" w14:textId="77777777" w:rsidR="007D37B6" w:rsidRPr="00EA5131" w:rsidRDefault="007D37B6" w:rsidP="007D37B6">
            <w:pPr>
              <w:widowControl w:val="0"/>
              <w:ind w:left="132" w:right="151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EA5131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Failure to </w:t>
            </w:r>
            <w:r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complete </w:t>
            </w:r>
            <w:r w:rsidRPr="00EA5131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the task on the scheduled date and time will result in a mark of zero being recorded and an ‘N’ Award warning letter issued.</w:t>
            </w:r>
          </w:p>
          <w:p w14:paraId="04BBA025" w14:textId="77777777" w:rsidR="007D37B6" w:rsidRPr="00EA5131" w:rsidRDefault="007D37B6" w:rsidP="007D37B6">
            <w:pPr>
              <w:widowControl w:val="0"/>
              <w:ind w:left="132" w:right="276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EA5131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Applications for Illness/Misadventure must be completed using the appropriate form from the Assessment Handbook, accompanied with supporting third-party documentation (e.g. a doctor’s certificate).</w:t>
            </w:r>
          </w:p>
          <w:p w14:paraId="310DD827" w14:textId="77777777" w:rsidR="00FA6CC0" w:rsidRDefault="00FA6CC0" w:rsidP="00A51FF3">
            <w:pPr>
              <w:rPr>
                <w:rFonts w:asciiTheme="majorHAnsi" w:hAnsiTheme="majorHAnsi" w:cstheme="majorHAnsi"/>
                <w:color w:val="FF0000"/>
              </w:rPr>
            </w:pPr>
          </w:p>
          <w:p w14:paraId="7B2A1A0B" w14:textId="2714555B" w:rsidR="00CB1468" w:rsidRPr="00FA6CC0" w:rsidRDefault="00CB1468" w:rsidP="00A51F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352" w:type="dxa"/>
          </w:tcPr>
          <w:p w14:paraId="19361BF3" w14:textId="31BF7C19" w:rsidR="00503770" w:rsidRPr="007403E6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403E6">
              <w:rPr>
                <w:rFonts w:asciiTheme="majorHAnsi" w:hAnsiTheme="majorHAnsi" w:cstheme="majorHAnsi"/>
                <w:b/>
              </w:rPr>
              <w:t xml:space="preserve">WEIGHTING: </w:t>
            </w:r>
            <w:r w:rsidRPr="007403E6">
              <w:rPr>
                <w:rFonts w:asciiTheme="majorHAnsi" w:hAnsiTheme="majorHAnsi" w:cstheme="majorHAnsi"/>
              </w:rPr>
              <w:tab/>
            </w:r>
            <w:r w:rsidR="007403E6" w:rsidRPr="007403E6">
              <w:rPr>
                <w:rFonts w:asciiTheme="majorHAnsi" w:hAnsiTheme="majorHAnsi" w:cstheme="majorHAnsi"/>
              </w:rPr>
              <w:t>30</w:t>
            </w:r>
            <w:r w:rsidRPr="007403E6">
              <w:rPr>
                <w:rFonts w:asciiTheme="majorHAnsi" w:hAnsiTheme="majorHAnsi" w:cstheme="majorHAnsi"/>
              </w:rPr>
              <w:t xml:space="preserve">% </w:t>
            </w:r>
          </w:p>
        </w:tc>
      </w:tr>
      <w:tr w:rsidR="00503770" w:rsidRPr="00503770" w14:paraId="7E79B8E9" w14:textId="77777777" w:rsidTr="2FDDC1DA">
        <w:trPr>
          <w:trHeight w:val="900"/>
        </w:trPr>
        <w:tc>
          <w:tcPr>
            <w:tcW w:w="10440" w:type="dxa"/>
            <w:gridSpan w:val="2"/>
          </w:tcPr>
          <w:p w14:paraId="005AA0A1" w14:textId="1F98AB64" w:rsidR="00CB1468" w:rsidRP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68C6F568" w14:textId="77777777" w:rsidR="007403E6" w:rsidRPr="007403E6" w:rsidRDefault="007403E6" w:rsidP="007403E6">
            <w:pPr>
              <w:widowControl w:val="0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7403E6">
              <w:rPr>
                <w:rFonts w:asciiTheme="majorHAnsi" w:hAnsiTheme="majorHAnsi" w:cstheme="majorHAnsi"/>
                <w:b/>
              </w:rPr>
              <w:t xml:space="preserve">EN11-1 </w:t>
            </w:r>
            <w:r w:rsidRPr="007403E6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  <w:lang w:eastAsia="en-AU"/>
              </w:rPr>
              <w:t>responds</w:t>
            </w:r>
            <w:r w:rsidRPr="007403E6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eastAsia="en-AU"/>
              </w:rPr>
              <w:t xml:space="preserve"> to and composes increasingly complex texts for understanding, interpretation, analysis, imaginative expression and pleasure</w:t>
            </w:r>
          </w:p>
          <w:p w14:paraId="33C17B09" w14:textId="77777777" w:rsidR="007403E6" w:rsidRPr="007403E6" w:rsidRDefault="007403E6" w:rsidP="007403E6">
            <w:pPr>
              <w:widowControl w:val="0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7403E6">
              <w:rPr>
                <w:rFonts w:asciiTheme="majorHAnsi" w:hAnsiTheme="majorHAnsi" w:cstheme="majorHAnsi"/>
                <w:b/>
              </w:rPr>
              <w:t>EN11-</w:t>
            </w:r>
            <w:proofErr w:type="gramStart"/>
            <w:r w:rsidRPr="007403E6">
              <w:rPr>
                <w:rFonts w:asciiTheme="majorHAnsi" w:hAnsiTheme="majorHAnsi" w:cstheme="majorHAnsi"/>
                <w:b/>
              </w:rPr>
              <w:t xml:space="preserve">3  </w:t>
            </w:r>
            <w:r w:rsidRPr="007403E6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  <w:lang w:eastAsia="en-AU"/>
              </w:rPr>
              <w:t>analyses</w:t>
            </w:r>
            <w:proofErr w:type="gramEnd"/>
            <w:r w:rsidRPr="007403E6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eastAsia="en-AU"/>
              </w:rPr>
              <w:t xml:space="preserve"> and </w:t>
            </w:r>
            <w:r w:rsidRPr="007403E6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  <w:lang w:eastAsia="en-AU"/>
              </w:rPr>
              <w:t>uses</w:t>
            </w:r>
            <w:r w:rsidRPr="007403E6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eastAsia="en-AU"/>
              </w:rPr>
              <w:t xml:space="preserve"> language forms, features and structures of texts, considers appropriateness for purpose, audience and context and explains effects on meaning</w:t>
            </w:r>
          </w:p>
          <w:p w14:paraId="2099E376" w14:textId="77777777" w:rsidR="007403E6" w:rsidRPr="007403E6" w:rsidRDefault="007403E6" w:rsidP="007403E6">
            <w:pPr>
              <w:rPr>
                <w:rFonts w:asciiTheme="majorHAnsi" w:hAnsiTheme="majorHAnsi" w:cstheme="majorHAnsi"/>
                <w:b/>
              </w:rPr>
            </w:pPr>
            <w:r w:rsidRPr="007403E6">
              <w:rPr>
                <w:rFonts w:asciiTheme="majorHAnsi" w:hAnsiTheme="majorHAnsi" w:cstheme="majorHAnsi"/>
                <w:b/>
              </w:rPr>
              <w:t>EN11-</w:t>
            </w:r>
            <w:proofErr w:type="gramStart"/>
            <w:r w:rsidRPr="007403E6">
              <w:rPr>
                <w:rFonts w:asciiTheme="majorHAnsi" w:hAnsiTheme="majorHAnsi" w:cstheme="majorHAnsi"/>
                <w:b/>
              </w:rPr>
              <w:t xml:space="preserve">4  </w:t>
            </w:r>
            <w:r w:rsidRPr="007403E6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eastAsia="en-AU"/>
              </w:rPr>
              <w:t>applies</w:t>
            </w:r>
            <w:proofErr w:type="gramEnd"/>
            <w:r w:rsidRPr="007403E6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eastAsia="en-AU"/>
              </w:rPr>
              <w:t xml:space="preserve"> knowledge, skills and understanding of language concepts and literary devices into new and different contexts</w:t>
            </w:r>
          </w:p>
          <w:p w14:paraId="2FD0F5FD" w14:textId="3C9447F1" w:rsidR="007403E6" w:rsidRPr="007403E6" w:rsidRDefault="007403E6" w:rsidP="007403E6">
            <w:pPr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7403E6">
              <w:rPr>
                <w:rFonts w:asciiTheme="majorHAnsi" w:hAnsiTheme="majorHAnsi" w:cstheme="majorHAnsi"/>
                <w:b/>
              </w:rPr>
              <w:t>EN11-6</w:t>
            </w:r>
            <w:r w:rsidRPr="007403E6">
              <w:rPr>
                <w:rFonts w:asciiTheme="majorHAnsi" w:hAnsiTheme="majorHAnsi" w:cstheme="majorHAnsi"/>
              </w:rPr>
              <w:t xml:space="preserve"> </w:t>
            </w:r>
            <w:r w:rsidRPr="007403E6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eastAsia="en-AU"/>
              </w:rPr>
              <w:t xml:space="preserve">investigates and </w:t>
            </w:r>
            <w:r w:rsidRPr="007403E6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  <w:lang w:eastAsia="en-AU"/>
              </w:rPr>
              <w:t>explains</w:t>
            </w:r>
            <w:r w:rsidRPr="007403E6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eastAsia="en-AU"/>
              </w:rPr>
              <w:t xml:space="preserve"> the relationships between texts</w:t>
            </w:r>
          </w:p>
        </w:tc>
      </w:tr>
      <w:tr w:rsidR="00503770" w:rsidRPr="00503770" w14:paraId="39DE6A14" w14:textId="77777777" w:rsidTr="2FDDC1DA">
        <w:trPr>
          <w:trHeight w:val="720"/>
        </w:trPr>
        <w:tc>
          <w:tcPr>
            <w:tcW w:w="10440" w:type="dxa"/>
            <w:gridSpan w:val="2"/>
            <w:tcBorders>
              <w:bottom w:val="thickThinMediumGap" w:sz="24" w:space="0" w:color="auto"/>
            </w:tcBorders>
          </w:tcPr>
          <w:p w14:paraId="1EB7AE3E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DIRECTIONAL VERBS:</w:t>
            </w:r>
          </w:p>
          <w:p w14:paraId="07A45412" w14:textId="77777777" w:rsidR="00CB1468" w:rsidRPr="00503770" w:rsidRDefault="00CB1468" w:rsidP="00A51FF3">
            <w:pPr>
              <w:rPr>
                <w:rFonts w:asciiTheme="majorHAnsi" w:hAnsiTheme="majorHAnsi" w:cstheme="majorHAnsi"/>
                <w:b/>
              </w:rPr>
            </w:pPr>
          </w:p>
          <w:p w14:paraId="3D68F2A3" w14:textId="77777777" w:rsidR="007403E6" w:rsidRPr="00081834" w:rsidRDefault="007403E6" w:rsidP="007403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Identify- </w:t>
            </w:r>
            <w:r w:rsidRPr="00081834">
              <w:rPr>
                <w:rFonts w:asciiTheme="majorHAnsi" w:hAnsiTheme="majorHAnsi" w:cstheme="majorHAnsi"/>
              </w:rPr>
              <w:t>Recognise and name</w:t>
            </w:r>
          </w:p>
          <w:p w14:paraId="7E3137DE" w14:textId="77777777" w:rsidR="007403E6" w:rsidRPr="00081834" w:rsidRDefault="007403E6" w:rsidP="007403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Describe- </w:t>
            </w:r>
            <w:r w:rsidRPr="00081834">
              <w:rPr>
                <w:rFonts w:asciiTheme="majorHAnsi" w:hAnsiTheme="majorHAnsi" w:cstheme="majorHAnsi"/>
              </w:rPr>
              <w:t>Provide characteristics and features</w:t>
            </w:r>
          </w:p>
          <w:p w14:paraId="41394BFD" w14:textId="77777777" w:rsidR="007403E6" w:rsidRPr="00081834" w:rsidRDefault="007403E6" w:rsidP="007403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Explain- </w:t>
            </w:r>
            <w:r w:rsidRPr="00081834">
              <w:rPr>
                <w:rFonts w:asciiTheme="majorHAnsi" w:hAnsiTheme="majorHAnsi" w:cstheme="majorHAnsi"/>
              </w:rPr>
              <w:t>Relate cause and effect; make the relationships between things evident; provide why and/or how</w:t>
            </w:r>
          </w:p>
          <w:p w14:paraId="4E250AFE" w14:textId="77777777" w:rsidR="007403E6" w:rsidRPr="00FD5BC6" w:rsidRDefault="007403E6" w:rsidP="007403E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Analyse </w:t>
            </w:r>
            <w:r w:rsidRPr="00081834">
              <w:rPr>
                <w:rFonts w:asciiTheme="majorHAnsi" w:hAnsiTheme="majorHAnsi" w:cstheme="majorHAnsi"/>
              </w:rPr>
              <w:t>- Identify components and the relationship between them; draw out and relate implications</w:t>
            </w:r>
          </w:p>
          <w:p w14:paraId="336CF599" w14:textId="22176B42" w:rsidR="007403E6" w:rsidRPr="00E35F20" w:rsidRDefault="007403E6" w:rsidP="007403E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Discuss - </w:t>
            </w:r>
            <w:r w:rsidRPr="00081834">
              <w:rPr>
                <w:rFonts w:asciiTheme="majorHAnsi" w:hAnsiTheme="majorHAnsi" w:cstheme="majorHAnsi"/>
              </w:rPr>
              <w:t>Identify issues and provide points for and/or against</w:t>
            </w:r>
          </w:p>
          <w:p w14:paraId="4639FE52" w14:textId="4B9C11F0" w:rsidR="00CB1468" w:rsidRPr="00503770" w:rsidRDefault="00CB1468" w:rsidP="00A51FF3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503770" w:rsidRPr="00503770" w14:paraId="6423916C" w14:textId="77777777" w:rsidTr="2FDDC1DA">
        <w:trPr>
          <w:trHeight w:val="900"/>
        </w:trPr>
        <w:tc>
          <w:tcPr>
            <w:tcW w:w="10440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0336D4A2" w14:textId="777A77B9" w:rsidR="00CB1468" w:rsidRP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3AB59BB7" w14:textId="788812DB" w:rsidR="00CB1468" w:rsidRPr="00503770" w:rsidRDefault="007403E6" w:rsidP="00A51FF3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b/>
              </w:rPr>
              <w:t>Students are to sit a formal examination in the hall. They will complete an examination paper with three (3) sections. To complete this examination, students will have 10 minutes reading time and 2 hours working time.</w:t>
            </w:r>
          </w:p>
        </w:tc>
      </w:tr>
      <w:tr w:rsidR="00503770" w:rsidRPr="00503770" w14:paraId="158764FF" w14:textId="77777777" w:rsidTr="2FDDC1DA">
        <w:trPr>
          <w:trHeight w:val="900"/>
        </w:trPr>
        <w:tc>
          <w:tcPr>
            <w:tcW w:w="10440" w:type="dxa"/>
            <w:gridSpan w:val="2"/>
            <w:tcBorders>
              <w:top w:val="thinThickMediumGap" w:sz="24" w:space="0" w:color="auto"/>
            </w:tcBorders>
          </w:tcPr>
          <w:p w14:paraId="56E2D1F1" w14:textId="1A08A273" w:rsidR="00FA6CC0" w:rsidRPr="007403E6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ASSESSMENT CRITERIA:</w:t>
            </w:r>
          </w:p>
          <w:p w14:paraId="08864CE3" w14:textId="77777777" w:rsidR="007403E6" w:rsidRDefault="007403E6" w:rsidP="007403E6">
            <w:pPr>
              <w:rPr>
                <w:rFonts w:asciiTheme="majorHAnsi" w:hAnsiTheme="majorHAnsi" w:cstheme="majorHAnsi"/>
              </w:rPr>
            </w:pPr>
            <w:r w:rsidRPr="00B834EC">
              <w:rPr>
                <w:rFonts w:asciiTheme="majorHAnsi" w:hAnsiTheme="majorHAnsi" w:cstheme="majorHAnsi"/>
              </w:rPr>
              <w:t xml:space="preserve">The formal examination will have </w:t>
            </w:r>
            <w:r w:rsidRPr="00FD5BC6">
              <w:rPr>
                <w:rFonts w:asciiTheme="majorHAnsi" w:hAnsiTheme="majorHAnsi" w:cstheme="majorHAnsi"/>
                <w:b/>
              </w:rPr>
              <w:t>three (3) sections.</w:t>
            </w:r>
          </w:p>
          <w:p w14:paraId="234068B3" w14:textId="77777777" w:rsidR="007403E6" w:rsidRPr="00B834EC" w:rsidRDefault="007403E6" w:rsidP="007403E6">
            <w:pPr>
              <w:rPr>
                <w:rFonts w:asciiTheme="majorHAnsi" w:hAnsiTheme="majorHAnsi" w:cstheme="majorHAnsi"/>
              </w:rPr>
            </w:pPr>
          </w:p>
          <w:p w14:paraId="10D1A4FD" w14:textId="77777777" w:rsidR="00D02857" w:rsidRDefault="00D02857" w:rsidP="007403E6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743AB95" w14:textId="77777777" w:rsidR="00D02857" w:rsidRDefault="00D02857" w:rsidP="007403E6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0B978BA" w14:textId="77777777" w:rsidR="00D02857" w:rsidRDefault="00D02857" w:rsidP="007403E6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94EF5D0" w14:textId="5A1A5EF3" w:rsidR="007403E6" w:rsidRPr="007403E6" w:rsidRDefault="007403E6" w:rsidP="007403E6">
            <w:pPr>
              <w:pStyle w:val="NoSpacing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D5BC6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Section 1</w:t>
            </w:r>
            <w:r w:rsidRPr="00FD5BC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FD5BC6">
              <w:rPr>
                <w:rFonts w:ascii="Calibri" w:eastAsia="Calibri" w:hAnsi="Calibri" w:cs="Times New Roman"/>
                <w:b/>
                <w:sz w:val="28"/>
                <w:szCs w:val="28"/>
              </w:rPr>
              <w:t>- Reading to Write – 15 Marks</w:t>
            </w:r>
          </w:p>
          <w:p w14:paraId="0C950AEE" w14:textId="77777777" w:rsidR="00E35F20" w:rsidRDefault="00E35F20" w:rsidP="007403E6">
            <w:pPr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</w:p>
          <w:p w14:paraId="5538EF9F" w14:textId="3F2514A0" w:rsidR="007403E6" w:rsidRDefault="007403E6" w:rsidP="007403E6">
            <w:pPr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This section is common to both</w:t>
            </w:r>
            <w:r w:rsidRPr="00A05B67">
              <w:rPr>
                <w:rFonts w:ascii="Calibri" w:eastAsia="Calibri" w:hAnsi="Calibri" w:cs="Times New Roman"/>
                <w:b/>
                <w:sz w:val="22"/>
                <w:szCs w:val="22"/>
              </w:rPr>
              <w:t xml:space="preserve"> Standard AND Advanced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students.</w:t>
            </w:r>
          </w:p>
          <w:p w14:paraId="044D9669" w14:textId="77777777" w:rsidR="007403E6" w:rsidRDefault="007403E6" w:rsidP="007403E6">
            <w:pPr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In this section students:</w:t>
            </w:r>
          </w:p>
          <w:p w14:paraId="2F8FDFFC" w14:textId="77777777" w:rsidR="007403E6" w:rsidRPr="00A05B67" w:rsidRDefault="007403E6" w:rsidP="007403E6">
            <w:pPr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</w:p>
          <w:p w14:paraId="3D9095F9" w14:textId="051AC049" w:rsidR="007403E6" w:rsidRPr="00A05B67" w:rsidRDefault="007403E6" w:rsidP="007403E6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A05B67">
              <w:rPr>
                <w:rFonts w:ascii="Calibri" w:eastAsia="Calibri" w:hAnsi="Calibri" w:cs="Times New Roman"/>
                <w:sz w:val="22"/>
                <w:szCs w:val="22"/>
              </w:rPr>
              <w:t xml:space="preserve">will be </w:t>
            </w:r>
            <w:r>
              <w:rPr>
                <w:rFonts w:ascii="Calibri" w:eastAsia="Calibri" w:hAnsi="Calibri" w:cs="Times New Roman"/>
                <w:sz w:val="22"/>
                <w:szCs w:val="22"/>
              </w:rPr>
              <w:t>required to read previously unseen text</w:t>
            </w:r>
            <w:r w:rsidR="000C315A">
              <w:rPr>
                <w:rFonts w:ascii="Calibri" w:eastAsia="Calibri" w:hAnsi="Calibri" w:cs="Times New Roman"/>
                <w:sz w:val="22"/>
                <w:szCs w:val="22"/>
              </w:rPr>
              <w:t>s</w:t>
            </w:r>
            <w:r>
              <w:rPr>
                <w:rFonts w:ascii="Calibri" w:eastAsia="Calibri" w:hAnsi="Calibri" w:cs="Times New Roman"/>
                <w:sz w:val="22"/>
                <w:szCs w:val="22"/>
              </w:rPr>
              <w:t>.</w:t>
            </w:r>
            <w:r w:rsidRPr="00A05B67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</w:p>
          <w:p w14:paraId="6ED6399C" w14:textId="77777777" w:rsidR="007403E6" w:rsidRPr="00081834" w:rsidRDefault="007403E6" w:rsidP="007403E6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color w:val="FF0000"/>
              </w:rPr>
            </w:pPr>
            <w:r w:rsidRPr="00A05B67">
              <w:rPr>
                <w:rFonts w:ascii="Calibri" w:eastAsia="Calibri" w:hAnsi="Calibri" w:cs="Times New Roman"/>
                <w:sz w:val="22"/>
                <w:szCs w:val="22"/>
              </w:rPr>
              <w:t xml:space="preserve">will be required to respond to </w:t>
            </w:r>
            <w:r>
              <w:rPr>
                <w:rFonts w:ascii="Calibri" w:eastAsia="Calibri" w:hAnsi="Calibri" w:cs="Times New Roman"/>
                <w:sz w:val="22"/>
                <w:szCs w:val="22"/>
              </w:rPr>
              <w:t>six (A to F)</w:t>
            </w:r>
            <w:r w:rsidRPr="00A05B67">
              <w:rPr>
                <w:rFonts w:ascii="Calibri" w:eastAsia="Calibri" w:hAnsi="Calibri" w:cs="Times New Roman"/>
                <w:sz w:val="22"/>
                <w:szCs w:val="22"/>
              </w:rPr>
              <w:t xml:space="preserve"> short answer questions based on this text.</w:t>
            </w:r>
            <w:r>
              <w:rPr>
                <w:rFonts w:ascii="Calibri" w:eastAsia="Calibri" w:hAnsi="Calibri" w:cs="Times New Roman"/>
                <w:sz w:val="22"/>
                <w:szCs w:val="22"/>
              </w:rPr>
              <w:t xml:space="preserve"> Mark value for these questions is between 2 and 5.</w:t>
            </w:r>
          </w:p>
          <w:p w14:paraId="2B6D12CE" w14:textId="77777777" w:rsidR="007403E6" w:rsidRPr="00F94241" w:rsidRDefault="007403E6" w:rsidP="007403E6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 xml:space="preserve">will </w:t>
            </w:r>
            <w:r w:rsidRPr="00F94241">
              <w:rPr>
                <w:rFonts w:ascii="Calibri" w:eastAsia="Calibri" w:hAnsi="Calibri" w:cs="Times New Roman"/>
                <w:lang w:val="en-US"/>
              </w:rPr>
              <w:t>demonstrate understanding of the craft of writing in texts</w:t>
            </w:r>
          </w:p>
          <w:p w14:paraId="12772981" w14:textId="77777777" w:rsidR="007403E6" w:rsidRPr="00F94241" w:rsidRDefault="007403E6" w:rsidP="007403E6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2"/>
                <w:szCs w:val="22"/>
                <w:lang w:val="en-US"/>
              </w:rPr>
            </w:pPr>
            <w:r w:rsidRPr="00F94241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 xml:space="preserve">identify, describe, explain and </w:t>
            </w:r>
            <w:proofErr w:type="spellStart"/>
            <w:r w:rsidRPr="00F94241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>analyse</w:t>
            </w:r>
            <w:proofErr w:type="spellEnd"/>
            <w:r w:rsidRPr="00F94241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 xml:space="preserve"> the ways ideas are represented in texts</w:t>
            </w:r>
          </w:p>
          <w:p w14:paraId="007FE3FA" w14:textId="77777777" w:rsidR="007403E6" w:rsidRPr="00FD5BC6" w:rsidRDefault="007403E6" w:rsidP="007403E6">
            <w:pPr>
              <w:pStyle w:val="ListParagraph"/>
              <w:rPr>
                <w:rFonts w:asciiTheme="majorHAnsi" w:hAnsiTheme="majorHAnsi" w:cstheme="majorHAnsi"/>
                <w:color w:val="FF0000"/>
              </w:rPr>
            </w:pPr>
          </w:p>
          <w:p w14:paraId="3D35CADA" w14:textId="77777777" w:rsidR="00E35F20" w:rsidRDefault="00E35F20" w:rsidP="00E35F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D5BC6">
              <w:rPr>
                <w:rFonts w:asciiTheme="majorHAnsi" w:hAnsiTheme="majorHAnsi" w:cstheme="majorHAnsi"/>
                <w:b/>
                <w:sz w:val="28"/>
                <w:szCs w:val="28"/>
              </w:rPr>
              <w:t>Section 2 – Contemporary Possibilities – 20 Marks</w:t>
            </w:r>
          </w:p>
          <w:p w14:paraId="53B3DA39" w14:textId="46527A58" w:rsidR="00E35F20" w:rsidRDefault="00E35F20" w:rsidP="00E35F20">
            <w:pPr>
              <w:rPr>
                <w:rFonts w:asciiTheme="majorHAnsi" w:hAnsiTheme="majorHAnsi" w:cstheme="majorHAnsi"/>
              </w:rPr>
            </w:pPr>
          </w:p>
          <w:p w14:paraId="652C688B" w14:textId="0E65406E" w:rsidR="0097231C" w:rsidRDefault="0097231C" w:rsidP="2FDDC1DA">
            <w:pPr>
              <w:rPr>
                <w:rFonts w:asciiTheme="majorHAnsi" w:hAnsiTheme="majorHAnsi" w:cstheme="majorBidi"/>
              </w:rPr>
            </w:pPr>
            <w:r w:rsidRPr="2FDDC1DA">
              <w:rPr>
                <w:rFonts w:asciiTheme="majorHAnsi" w:hAnsiTheme="majorHAnsi" w:cstheme="majorBidi"/>
              </w:rPr>
              <w:t xml:space="preserve">This section will require students to respond in essay form </w:t>
            </w:r>
            <w:r w:rsidR="0092073E" w:rsidRPr="2FDDC1DA">
              <w:rPr>
                <w:rFonts w:asciiTheme="majorHAnsi" w:hAnsiTheme="majorHAnsi" w:cstheme="majorBidi"/>
              </w:rPr>
              <w:t>to</w:t>
            </w:r>
            <w:r w:rsidR="0092073E" w:rsidRPr="2FDDC1DA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="0092073E" w:rsidRPr="2FDDC1DA">
              <w:rPr>
                <w:rFonts w:asciiTheme="majorHAnsi" w:hAnsiTheme="majorHAnsi" w:cstheme="majorBidi"/>
              </w:rPr>
              <w:t>a set question that addresses the module and th</w:t>
            </w:r>
            <w:r w:rsidR="009D7742" w:rsidRPr="2FDDC1DA">
              <w:rPr>
                <w:rFonts w:asciiTheme="majorHAnsi" w:hAnsiTheme="majorHAnsi" w:cstheme="majorBidi"/>
              </w:rPr>
              <w:t xml:space="preserve">e </w:t>
            </w:r>
            <w:r w:rsidR="0092073E" w:rsidRPr="2FDDC1DA">
              <w:rPr>
                <w:rFonts w:asciiTheme="majorHAnsi" w:hAnsiTheme="majorHAnsi" w:cstheme="majorBidi"/>
              </w:rPr>
              <w:t>set text</w:t>
            </w:r>
            <w:r w:rsidR="009D7742" w:rsidRPr="2FDDC1DA">
              <w:rPr>
                <w:rFonts w:asciiTheme="majorHAnsi" w:hAnsiTheme="majorHAnsi" w:cstheme="majorBidi"/>
              </w:rPr>
              <w:t xml:space="preserve"> </w:t>
            </w:r>
            <w:r w:rsidR="009D7742" w:rsidRPr="2FDDC1DA">
              <w:rPr>
                <w:rFonts w:asciiTheme="majorHAnsi" w:hAnsiTheme="majorHAnsi" w:cstheme="majorBidi"/>
                <w:i/>
                <w:iCs/>
              </w:rPr>
              <w:t xml:space="preserve">Black Mirror </w:t>
            </w:r>
            <w:r w:rsidR="00E863A2" w:rsidRPr="2FDDC1DA">
              <w:rPr>
                <w:rFonts w:asciiTheme="majorHAnsi" w:hAnsiTheme="majorHAnsi" w:cstheme="majorBidi"/>
              </w:rPr>
              <w:t xml:space="preserve">‘Nosedive’ by </w:t>
            </w:r>
            <w:r w:rsidR="00C97728" w:rsidRPr="2FDDC1DA">
              <w:rPr>
                <w:rFonts w:asciiTheme="majorHAnsi" w:hAnsiTheme="majorHAnsi" w:cstheme="majorBidi"/>
              </w:rPr>
              <w:t xml:space="preserve">Joe Wright </w:t>
            </w:r>
            <w:r w:rsidR="009D7742" w:rsidRPr="2FDDC1DA">
              <w:rPr>
                <w:rFonts w:asciiTheme="majorHAnsi" w:hAnsiTheme="majorHAnsi" w:cstheme="majorBidi"/>
              </w:rPr>
              <w:t>and a text of their own choosing (related text).</w:t>
            </w:r>
          </w:p>
          <w:p w14:paraId="3A38A938" w14:textId="77777777" w:rsidR="009D7742" w:rsidRDefault="009D7742" w:rsidP="00E35F20">
            <w:pPr>
              <w:rPr>
                <w:rFonts w:asciiTheme="majorHAnsi" w:hAnsiTheme="majorHAnsi" w:cstheme="majorHAnsi"/>
              </w:rPr>
            </w:pPr>
          </w:p>
          <w:p w14:paraId="35C78C0F" w14:textId="77777777" w:rsidR="00E35F20" w:rsidRDefault="00E35F20" w:rsidP="00E35F2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Students will be assessed on how well they:</w:t>
            </w:r>
          </w:p>
          <w:p w14:paraId="4354DCA3" w14:textId="77777777" w:rsidR="00E35F20" w:rsidRPr="00D35D3C" w:rsidRDefault="00E35F20" w:rsidP="00E35F20">
            <w:pPr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D35D3C">
              <w:rPr>
                <w:rFonts w:asciiTheme="majorHAnsi" w:hAnsiTheme="majorHAnsi" w:cstheme="majorHAnsi"/>
              </w:rPr>
              <w:t>demonstrate understanding of contemporary possibilities in texts</w:t>
            </w:r>
          </w:p>
          <w:p w14:paraId="29A1341B" w14:textId="77777777" w:rsidR="00E35F20" w:rsidRPr="00D35D3C" w:rsidRDefault="00E35F20" w:rsidP="00E35F20">
            <w:pPr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D35D3C">
              <w:rPr>
                <w:rFonts w:asciiTheme="majorHAnsi" w:hAnsiTheme="majorHAnsi" w:cstheme="majorHAnsi"/>
              </w:rPr>
              <w:t>analyse, explain and assess the ways contemporary possibilities are represented in texts</w:t>
            </w:r>
          </w:p>
          <w:p w14:paraId="2858AFF3" w14:textId="77777777" w:rsidR="00E35F20" w:rsidRPr="00D35D3C" w:rsidRDefault="00E35F20" w:rsidP="00E35F20">
            <w:pPr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D35D3C">
              <w:rPr>
                <w:rFonts w:asciiTheme="majorHAnsi" w:hAnsiTheme="majorHAnsi" w:cstheme="majorHAnsi"/>
              </w:rPr>
              <w:t>organise, develop and express ideas using language appropriate to audience, purpose and context</w:t>
            </w:r>
          </w:p>
          <w:p w14:paraId="6D62C355" w14:textId="77777777" w:rsidR="00E35F20" w:rsidRPr="00D35D3C" w:rsidRDefault="00E35F20" w:rsidP="00E35F20">
            <w:pPr>
              <w:rPr>
                <w:rFonts w:asciiTheme="majorHAnsi" w:hAnsiTheme="majorHAnsi" w:cstheme="majorHAnsi"/>
              </w:rPr>
            </w:pPr>
          </w:p>
          <w:p w14:paraId="0E056672" w14:textId="38CFC0BD" w:rsidR="00E35F20" w:rsidRPr="00FD5BC6" w:rsidRDefault="006D5C36" w:rsidP="00E35F20">
            <w:pPr>
              <w:rPr>
                <w:rFonts w:asciiTheme="majorHAnsi" w:hAnsiTheme="majorHAnsi" w:cstheme="majorHAnsi"/>
              </w:rPr>
            </w:pPr>
            <w:r w:rsidRPr="001302F3">
              <w:rPr>
                <w:rFonts w:asciiTheme="majorHAnsi" w:hAnsiTheme="majorHAnsi" w:cstheme="majorHAnsi"/>
                <w:bCs/>
              </w:rPr>
              <w:t>In preparing for this section of the paper, you should consider the concept</w:t>
            </w:r>
            <w:r>
              <w:rPr>
                <w:rFonts w:asciiTheme="majorHAnsi" w:hAnsiTheme="majorHAnsi" w:cstheme="majorHAnsi"/>
                <w:bCs/>
              </w:rPr>
              <w:t xml:space="preserve">s </w:t>
            </w:r>
            <w:r w:rsidR="004670E5">
              <w:rPr>
                <w:rFonts w:asciiTheme="majorHAnsi" w:hAnsiTheme="majorHAnsi" w:cstheme="majorHAnsi"/>
                <w:bCs/>
              </w:rPr>
              <w:t>involved in the ‘</w:t>
            </w:r>
            <w:r w:rsidR="00565117">
              <w:rPr>
                <w:rFonts w:asciiTheme="majorHAnsi" w:hAnsiTheme="majorHAnsi" w:cstheme="majorHAnsi"/>
                <w:bCs/>
              </w:rPr>
              <w:t>C</w:t>
            </w:r>
            <w:r w:rsidR="004670E5">
              <w:rPr>
                <w:rFonts w:asciiTheme="majorHAnsi" w:hAnsiTheme="majorHAnsi" w:cstheme="majorHAnsi"/>
                <w:bCs/>
              </w:rPr>
              <w:t xml:space="preserve">ontemporary </w:t>
            </w:r>
            <w:r w:rsidR="00565117">
              <w:rPr>
                <w:rFonts w:asciiTheme="majorHAnsi" w:hAnsiTheme="majorHAnsi" w:cstheme="majorHAnsi"/>
                <w:bCs/>
              </w:rPr>
              <w:t>P</w:t>
            </w:r>
            <w:r w:rsidR="004670E5">
              <w:rPr>
                <w:rFonts w:asciiTheme="majorHAnsi" w:hAnsiTheme="majorHAnsi" w:cstheme="majorHAnsi"/>
                <w:bCs/>
              </w:rPr>
              <w:t xml:space="preserve">ossibilities’ module, and how </w:t>
            </w:r>
            <w:r w:rsidR="00D61315">
              <w:rPr>
                <w:rFonts w:asciiTheme="majorHAnsi" w:hAnsiTheme="majorHAnsi" w:cstheme="majorHAnsi"/>
                <w:bCs/>
              </w:rPr>
              <w:t xml:space="preserve">composers shape their ideas on digital and communication technology </w:t>
            </w:r>
            <w:r w:rsidR="009856A1">
              <w:rPr>
                <w:rFonts w:asciiTheme="majorHAnsi" w:hAnsiTheme="majorHAnsi" w:cstheme="majorHAnsi"/>
                <w:bCs/>
              </w:rPr>
              <w:t>through the</w:t>
            </w:r>
            <w:r w:rsidR="00076035">
              <w:rPr>
                <w:rFonts w:asciiTheme="majorHAnsi" w:hAnsiTheme="majorHAnsi" w:cstheme="majorHAnsi"/>
                <w:bCs/>
              </w:rPr>
              <w:t>ir</w:t>
            </w:r>
            <w:r w:rsidR="009856A1">
              <w:rPr>
                <w:rFonts w:asciiTheme="majorHAnsi" w:hAnsiTheme="majorHAnsi" w:cstheme="majorHAnsi"/>
                <w:bCs/>
              </w:rPr>
              <w:t xml:space="preserve"> use of form</w:t>
            </w:r>
            <w:r w:rsidR="00565117">
              <w:rPr>
                <w:rFonts w:asciiTheme="majorHAnsi" w:hAnsiTheme="majorHAnsi" w:cstheme="majorHAnsi"/>
                <w:bCs/>
              </w:rPr>
              <w:t>,</w:t>
            </w:r>
            <w:r w:rsidR="009856A1">
              <w:rPr>
                <w:rFonts w:asciiTheme="majorHAnsi" w:hAnsiTheme="majorHAnsi" w:cstheme="majorHAnsi"/>
                <w:bCs/>
              </w:rPr>
              <w:t xml:space="preserve"> and both filmic and language techniques.</w:t>
            </w:r>
          </w:p>
          <w:p w14:paraId="0037E967" w14:textId="77777777" w:rsidR="00E35F20" w:rsidRPr="00FD5BC6" w:rsidRDefault="00E35F20" w:rsidP="00E35F20">
            <w:pPr>
              <w:rPr>
                <w:rFonts w:asciiTheme="majorHAnsi" w:hAnsiTheme="majorHAnsi" w:cstheme="majorHAnsi"/>
              </w:rPr>
            </w:pPr>
          </w:p>
          <w:p w14:paraId="48247C8F" w14:textId="77777777" w:rsidR="00E35F20" w:rsidRPr="00FD5BC6" w:rsidRDefault="00E35F20" w:rsidP="00E35F20">
            <w:pPr>
              <w:rPr>
                <w:rFonts w:asciiTheme="majorHAnsi" w:hAnsiTheme="majorHAnsi" w:cstheme="majorHAnsi"/>
              </w:rPr>
            </w:pPr>
          </w:p>
          <w:p w14:paraId="3ACB586F" w14:textId="130B3A48" w:rsidR="00E35F20" w:rsidRDefault="00E35F20" w:rsidP="2FDDC1DA">
            <w:pPr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r w:rsidRPr="2FDDC1DA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Section 3 – Close Study of Literature – 20 Marks</w:t>
            </w:r>
          </w:p>
          <w:p w14:paraId="260C760A" w14:textId="09DC9962" w:rsidR="00E35F20" w:rsidRDefault="00E35F20" w:rsidP="00E35F20">
            <w:pPr>
              <w:rPr>
                <w:rFonts w:asciiTheme="majorHAnsi" w:hAnsiTheme="majorHAnsi" w:cstheme="majorHAnsi"/>
              </w:rPr>
            </w:pPr>
          </w:p>
          <w:p w14:paraId="0395FA5B" w14:textId="013CBBA0" w:rsidR="00205416" w:rsidRPr="00970AEA" w:rsidRDefault="00205416" w:rsidP="2FDDC1DA">
            <w:pPr>
              <w:rPr>
                <w:rFonts w:asciiTheme="majorHAnsi" w:hAnsiTheme="majorHAnsi" w:cstheme="majorBidi"/>
              </w:rPr>
            </w:pPr>
            <w:r w:rsidRPr="2FDDC1DA">
              <w:rPr>
                <w:rFonts w:asciiTheme="majorHAnsi" w:hAnsiTheme="majorHAnsi" w:cstheme="majorBidi"/>
              </w:rPr>
              <w:t xml:space="preserve">This section will require students to respond in essay form to a set question that addresses the </w:t>
            </w:r>
            <w:r w:rsidR="00BC5869" w:rsidRPr="2FDDC1DA">
              <w:rPr>
                <w:rFonts w:asciiTheme="majorHAnsi" w:hAnsiTheme="majorHAnsi" w:cstheme="majorBidi"/>
              </w:rPr>
              <w:t>module and set text</w:t>
            </w:r>
            <w:r w:rsidR="00462A1C" w:rsidRPr="2FDDC1DA">
              <w:rPr>
                <w:rFonts w:asciiTheme="majorHAnsi" w:hAnsiTheme="majorHAnsi" w:cstheme="majorBidi"/>
              </w:rPr>
              <w:t>, Wilfred Owen’s poetry</w:t>
            </w:r>
            <w:r w:rsidR="00970AEA" w:rsidRPr="2FDDC1DA">
              <w:rPr>
                <w:rFonts w:asciiTheme="majorHAnsi" w:hAnsiTheme="majorHAnsi" w:cstheme="majorBidi"/>
              </w:rPr>
              <w:t xml:space="preserve">. The poems set for study are: </w:t>
            </w:r>
            <w:r w:rsidR="00B00F3D" w:rsidRPr="2FDDC1DA">
              <w:rPr>
                <w:rFonts w:asciiTheme="majorHAnsi" w:hAnsiTheme="majorHAnsi" w:cstheme="majorBidi"/>
              </w:rPr>
              <w:t>The Next War, Anthem for Doomed Youth, Futility, Dulce Et Decorum Est</w:t>
            </w:r>
            <w:r w:rsidR="00AF5DEF" w:rsidRPr="2FDDC1DA">
              <w:rPr>
                <w:rFonts w:asciiTheme="majorHAnsi" w:hAnsiTheme="majorHAnsi" w:cstheme="majorBidi"/>
              </w:rPr>
              <w:t>.</w:t>
            </w:r>
          </w:p>
          <w:p w14:paraId="6EF4EEA2" w14:textId="77777777" w:rsidR="00205416" w:rsidRDefault="00205416" w:rsidP="00E35F20">
            <w:pPr>
              <w:rPr>
                <w:rFonts w:asciiTheme="majorHAnsi" w:hAnsiTheme="majorHAnsi" w:cstheme="majorHAnsi"/>
              </w:rPr>
            </w:pPr>
          </w:p>
          <w:p w14:paraId="47191DB2" w14:textId="77777777" w:rsidR="00E35F20" w:rsidRDefault="00E35F20" w:rsidP="00E35F20">
            <w:pPr>
              <w:rPr>
                <w:rFonts w:asciiTheme="majorHAnsi" w:hAnsiTheme="majorHAnsi" w:cstheme="majorHAnsi"/>
              </w:rPr>
            </w:pPr>
            <w:r w:rsidRPr="00D35D3C">
              <w:rPr>
                <w:rFonts w:asciiTheme="majorHAnsi" w:hAnsiTheme="majorHAnsi" w:cstheme="majorHAnsi"/>
              </w:rPr>
              <w:t>Students will be assessed on how well they:</w:t>
            </w:r>
          </w:p>
          <w:p w14:paraId="29951B1E" w14:textId="77777777" w:rsidR="00E35F20" w:rsidRPr="00D35D3C" w:rsidRDefault="00E35F20" w:rsidP="00E35F20">
            <w:pPr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 w:rsidRPr="00D35D3C">
              <w:rPr>
                <w:rFonts w:asciiTheme="majorHAnsi" w:hAnsiTheme="majorHAnsi" w:cstheme="majorHAnsi"/>
              </w:rPr>
              <w:t xml:space="preserve">demonstrate understanding of a text’s distinctive qualities and how </w:t>
            </w:r>
            <w:proofErr w:type="gramStart"/>
            <w:r w:rsidRPr="00D35D3C">
              <w:rPr>
                <w:rFonts w:asciiTheme="majorHAnsi" w:hAnsiTheme="majorHAnsi" w:cstheme="majorHAnsi"/>
              </w:rPr>
              <w:t>these shape</w:t>
            </w:r>
            <w:proofErr w:type="gramEnd"/>
            <w:r w:rsidRPr="00D35D3C">
              <w:rPr>
                <w:rFonts w:asciiTheme="majorHAnsi" w:hAnsiTheme="majorHAnsi" w:cstheme="majorHAnsi"/>
              </w:rPr>
              <w:t xml:space="preserve"> meaning </w:t>
            </w:r>
          </w:p>
          <w:p w14:paraId="583E257D" w14:textId="77777777" w:rsidR="00E35F20" w:rsidRPr="00D35D3C" w:rsidRDefault="00E35F20" w:rsidP="00E35F20">
            <w:pPr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 w:rsidRPr="00D35D3C">
              <w:rPr>
                <w:rFonts w:asciiTheme="majorHAnsi" w:hAnsiTheme="majorHAnsi" w:cstheme="majorHAnsi"/>
              </w:rPr>
              <w:t>organise, develop and express ideas using language appropriate to audience, purpose and form</w:t>
            </w:r>
          </w:p>
          <w:p w14:paraId="113CD304" w14:textId="77777777" w:rsidR="00970AEA" w:rsidRDefault="00970AEA" w:rsidP="00E35F20">
            <w:pPr>
              <w:rPr>
                <w:rFonts w:asciiTheme="majorHAnsi" w:hAnsiTheme="majorHAnsi" w:cstheme="majorHAnsi"/>
                <w:bCs/>
              </w:rPr>
            </w:pPr>
          </w:p>
          <w:p w14:paraId="63311336" w14:textId="786D9AF9" w:rsidR="00E35F20" w:rsidRPr="00D35D3C" w:rsidRDefault="00970AEA" w:rsidP="00E35F20">
            <w:pPr>
              <w:rPr>
                <w:rFonts w:asciiTheme="majorHAnsi" w:hAnsiTheme="majorHAnsi" w:cstheme="majorHAnsi"/>
              </w:rPr>
            </w:pPr>
            <w:r w:rsidRPr="001302F3">
              <w:rPr>
                <w:rFonts w:asciiTheme="majorHAnsi" w:hAnsiTheme="majorHAnsi" w:cstheme="majorHAnsi"/>
                <w:bCs/>
              </w:rPr>
              <w:t>In preparing for this section of the paper, you should consider the</w:t>
            </w:r>
            <w:r w:rsidR="00056D99">
              <w:rPr>
                <w:rFonts w:asciiTheme="majorHAnsi" w:hAnsiTheme="majorHAnsi" w:cstheme="majorHAnsi"/>
                <w:bCs/>
              </w:rPr>
              <w:t xml:space="preserve"> ideas presented in Owen’s poetry, his purpose an</w:t>
            </w:r>
            <w:r w:rsidR="00106A04">
              <w:rPr>
                <w:rFonts w:asciiTheme="majorHAnsi" w:hAnsiTheme="majorHAnsi" w:cstheme="majorHAnsi"/>
                <w:bCs/>
              </w:rPr>
              <w:t xml:space="preserve">d context, and how the distinctive qualities of his poetry shape meaning for the audience. </w:t>
            </w:r>
          </w:p>
          <w:p w14:paraId="74568E13" w14:textId="77777777" w:rsidR="00E35F20" w:rsidRPr="00FD5BC6" w:rsidRDefault="00E35F20" w:rsidP="00E35F20">
            <w:pPr>
              <w:rPr>
                <w:rFonts w:asciiTheme="majorHAnsi" w:hAnsiTheme="majorHAnsi" w:cstheme="majorHAnsi"/>
              </w:rPr>
            </w:pPr>
          </w:p>
          <w:p w14:paraId="530C2F82" w14:textId="5073E0DD" w:rsidR="00503770" w:rsidRPr="00503770" w:rsidRDefault="00503770" w:rsidP="00970AEA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063A4B27" w14:textId="77777777" w:rsidR="00C57BB5" w:rsidRDefault="00C57BB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sectPr w:rsidR="00C57BB5" w:rsidSect="008E0C3E">
      <w:headerReference w:type="first" r:id="rId10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2A69B" w14:textId="77777777" w:rsidR="003B4308" w:rsidRDefault="003B4308" w:rsidP="00825FCE">
      <w:r>
        <w:separator/>
      </w:r>
    </w:p>
  </w:endnote>
  <w:endnote w:type="continuationSeparator" w:id="0">
    <w:p w14:paraId="24A9929D" w14:textId="77777777" w:rsidR="003B4308" w:rsidRDefault="003B4308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F7990" w14:textId="77777777" w:rsidR="003B4308" w:rsidRDefault="003B4308" w:rsidP="00825FCE">
      <w:r>
        <w:separator/>
      </w:r>
    </w:p>
  </w:footnote>
  <w:footnote w:type="continuationSeparator" w:id="0">
    <w:p w14:paraId="4C619EC5" w14:textId="77777777" w:rsidR="003B4308" w:rsidRDefault="003B4308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3C0E2" w14:textId="77777777" w:rsidR="00E82D3A" w:rsidRDefault="0093682D">
    <w:pPr>
      <w:pStyle w:val="Header"/>
    </w:pPr>
    <w:r>
      <w:rPr>
        <w:noProof/>
      </w:rPr>
      <w:pict w14:anchorId="23681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36pt;margin-top:-35.25pt;width:601.35pt;height:132pt;z-index:251659264;mso-wrap-edited:f;mso-width-percent:0;mso-height-percent:0;mso-position-horizontal-relative:text;mso-position-vertical-relative:text;mso-width-percent:0;mso-height-percent:0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926"/>
    <w:multiLevelType w:val="hybridMultilevel"/>
    <w:tmpl w:val="DFEE6B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457B17"/>
    <w:multiLevelType w:val="hybridMultilevel"/>
    <w:tmpl w:val="446EC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182EE8"/>
    <w:multiLevelType w:val="hybridMultilevel"/>
    <w:tmpl w:val="4ADA14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92DCC"/>
    <w:multiLevelType w:val="hybridMultilevel"/>
    <w:tmpl w:val="DD909AEC"/>
    <w:lvl w:ilvl="0" w:tplc="5776DFC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F61C1"/>
    <w:multiLevelType w:val="hybridMultilevel"/>
    <w:tmpl w:val="FED84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87CC4"/>
    <w:multiLevelType w:val="hybridMultilevel"/>
    <w:tmpl w:val="72886D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7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F5333"/>
    <w:multiLevelType w:val="hybridMultilevel"/>
    <w:tmpl w:val="A508C2B2"/>
    <w:lvl w:ilvl="0" w:tplc="C68A57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17"/>
  </w:num>
  <w:num w:numId="9">
    <w:abstractNumId w:val="0"/>
  </w:num>
  <w:num w:numId="10">
    <w:abstractNumId w:val="19"/>
  </w:num>
  <w:num w:numId="11">
    <w:abstractNumId w:val="7"/>
  </w:num>
  <w:num w:numId="12">
    <w:abstractNumId w:val="3"/>
  </w:num>
  <w:num w:numId="13">
    <w:abstractNumId w:val="6"/>
  </w:num>
  <w:num w:numId="14">
    <w:abstractNumId w:val="18"/>
  </w:num>
  <w:num w:numId="15">
    <w:abstractNumId w:val="11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51"/>
    <w:rsid w:val="00027D14"/>
    <w:rsid w:val="00054B10"/>
    <w:rsid w:val="00056D99"/>
    <w:rsid w:val="000716D4"/>
    <w:rsid w:val="00072CBF"/>
    <w:rsid w:val="00076035"/>
    <w:rsid w:val="000809A8"/>
    <w:rsid w:val="00082474"/>
    <w:rsid w:val="00095F56"/>
    <w:rsid w:val="000A6BC5"/>
    <w:rsid w:val="000B2E46"/>
    <w:rsid w:val="000C315A"/>
    <w:rsid w:val="000E3DE6"/>
    <w:rsid w:val="000F2AFF"/>
    <w:rsid w:val="00106A04"/>
    <w:rsid w:val="00152A6E"/>
    <w:rsid w:val="00167F43"/>
    <w:rsid w:val="00180502"/>
    <w:rsid w:val="0018321B"/>
    <w:rsid w:val="001B7885"/>
    <w:rsid w:val="001B7FAA"/>
    <w:rsid w:val="001E651B"/>
    <w:rsid w:val="00204D25"/>
    <w:rsid w:val="00205416"/>
    <w:rsid w:val="00224FE5"/>
    <w:rsid w:val="00233EB2"/>
    <w:rsid w:val="002348B0"/>
    <w:rsid w:val="00254D5B"/>
    <w:rsid w:val="002B2908"/>
    <w:rsid w:val="002F44CB"/>
    <w:rsid w:val="003021C3"/>
    <w:rsid w:val="003447F6"/>
    <w:rsid w:val="003620A8"/>
    <w:rsid w:val="00381C67"/>
    <w:rsid w:val="003838D7"/>
    <w:rsid w:val="003903E6"/>
    <w:rsid w:val="003A157E"/>
    <w:rsid w:val="003B4308"/>
    <w:rsid w:val="00412C61"/>
    <w:rsid w:val="00416494"/>
    <w:rsid w:val="00462A1C"/>
    <w:rsid w:val="004670E5"/>
    <w:rsid w:val="004B2528"/>
    <w:rsid w:val="004B291A"/>
    <w:rsid w:val="004B61AB"/>
    <w:rsid w:val="00502152"/>
    <w:rsid w:val="00503770"/>
    <w:rsid w:val="00514113"/>
    <w:rsid w:val="00546E23"/>
    <w:rsid w:val="00550FC8"/>
    <w:rsid w:val="00565117"/>
    <w:rsid w:val="00587C11"/>
    <w:rsid w:val="00595E31"/>
    <w:rsid w:val="005E248F"/>
    <w:rsid w:val="00603123"/>
    <w:rsid w:val="00644D56"/>
    <w:rsid w:val="0065389B"/>
    <w:rsid w:val="00663A6D"/>
    <w:rsid w:val="006853A5"/>
    <w:rsid w:val="00687CCE"/>
    <w:rsid w:val="006B266B"/>
    <w:rsid w:val="006D5C36"/>
    <w:rsid w:val="006E4203"/>
    <w:rsid w:val="00714D11"/>
    <w:rsid w:val="00733741"/>
    <w:rsid w:val="007403E6"/>
    <w:rsid w:val="007616AC"/>
    <w:rsid w:val="00781065"/>
    <w:rsid w:val="00782352"/>
    <w:rsid w:val="00782830"/>
    <w:rsid w:val="007D37B6"/>
    <w:rsid w:val="007D62B2"/>
    <w:rsid w:val="008077E5"/>
    <w:rsid w:val="00816034"/>
    <w:rsid w:val="008250AF"/>
    <w:rsid w:val="00825FCE"/>
    <w:rsid w:val="00832087"/>
    <w:rsid w:val="00846272"/>
    <w:rsid w:val="008465CB"/>
    <w:rsid w:val="00881538"/>
    <w:rsid w:val="008A61FC"/>
    <w:rsid w:val="008A7EC2"/>
    <w:rsid w:val="008B7145"/>
    <w:rsid w:val="008C2B0F"/>
    <w:rsid w:val="008D49A1"/>
    <w:rsid w:val="008E0C3E"/>
    <w:rsid w:val="008E704D"/>
    <w:rsid w:val="008F5270"/>
    <w:rsid w:val="009005E7"/>
    <w:rsid w:val="0090643A"/>
    <w:rsid w:val="0092073E"/>
    <w:rsid w:val="009217F5"/>
    <w:rsid w:val="00930E80"/>
    <w:rsid w:val="00934378"/>
    <w:rsid w:val="0093682D"/>
    <w:rsid w:val="009422BB"/>
    <w:rsid w:val="00955B97"/>
    <w:rsid w:val="00970AEA"/>
    <w:rsid w:val="0097231C"/>
    <w:rsid w:val="009856A1"/>
    <w:rsid w:val="00990DD8"/>
    <w:rsid w:val="00993C0C"/>
    <w:rsid w:val="009C3923"/>
    <w:rsid w:val="009D6B62"/>
    <w:rsid w:val="009D7742"/>
    <w:rsid w:val="009F20A0"/>
    <w:rsid w:val="00A04AE0"/>
    <w:rsid w:val="00A15137"/>
    <w:rsid w:val="00A2077B"/>
    <w:rsid w:val="00A47A6C"/>
    <w:rsid w:val="00A60991"/>
    <w:rsid w:val="00A6379B"/>
    <w:rsid w:val="00A946B2"/>
    <w:rsid w:val="00AA3FD9"/>
    <w:rsid w:val="00AC60C2"/>
    <w:rsid w:val="00AE2054"/>
    <w:rsid w:val="00AF3BF9"/>
    <w:rsid w:val="00AF4A7B"/>
    <w:rsid w:val="00AF5DEF"/>
    <w:rsid w:val="00B00F3D"/>
    <w:rsid w:val="00B403A5"/>
    <w:rsid w:val="00B4437B"/>
    <w:rsid w:val="00B53E9F"/>
    <w:rsid w:val="00B54899"/>
    <w:rsid w:val="00BA1023"/>
    <w:rsid w:val="00BA407C"/>
    <w:rsid w:val="00BA4E9F"/>
    <w:rsid w:val="00BC32DF"/>
    <w:rsid w:val="00BC5869"/>
    <w:rsid w:val="00C038F7"/>
    <w:rsid w:val="00C04464"/>
    <w:rsid w:val="00C213EE"/>
    <w:rsid w:val="00C40B99"/>
    <w:rsid w:val="00C53442"/>
    <w:rsid w:val="00C57BB5"/>
    <w:rsid w:val="00C64647"/>
    <w:rsid w:val="00C81889"/>
    <w:rsid w:val="00C8331D"/>
    <w:rsid w:val="00C86755"/>
    <w:rsid w:val="00C97728"/>
    <w:rsid w:val="00CB1468"/>
    <w:rsid w:val="00CD01E0"/>
    <w:rsid w:val="00CE617D"/>
    <w:rsid w:val="00D02857"/>
    <w:rsid w:val="00D40EA6"/>
    <w:rsid w:val="00D5048F"/>
    <w:rsid w:val="00D522E1"/>
    <w:rsid w:val="00D61315"/>
    <w:rsid w:val="00D66F47"/>
    <w:rsid w:val="00D862FB"/>
    <w:rsid w:val="00DA4251"/>
    <w:rsid w:val="00DB2FDB"/>
    <w:rsid w:val="00DB61B9"/>
    <w:rsid w:val="00DC53A6"/>
    <w:rsid w:val="00DC5E1E"/>
    <w:rsid w:val="00E35F20"/>
    <w:rsid w:val="00E36BB1"/>
    <w:rsid w:val="00E4181C"/>
    <w:rsid w:val="00E45B93"/>
    <w:rsid w:val="00E82D3A"/>
    <w:rsid w:val="00E863A2"/>
    <w:rsid w:val="00EA721B"/>
    <w:rsid w:val="00EC531F"/>
    <w:rsid w:val="00EE3B8E"/>
    <w:rsid w:val="00F01BAD"/>
    <w:rsid w:val="00F20036"/>
    <w:rsid w:val="00F37189"/>
    <w:rsid w:val="00F43810"/>
    <w:rsid w:val="00F66CBB"/>
    <w:rsid w:val="00FA6CC0"/>
    <w:rsid w:val="0E9317B1"/>
    <w:rsid w:val="2FDDC1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F2EED"/>
  <w15:docId w15:val="{AA04D49E-64C9-4A38-B5B3-AB9C969B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Spacing">
    <w:name w:val="No Spacing"/>
    <w:uiPriority w:val="1"/>
    <w:qFormat/>
    <w:rsid w:val="007403E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hite11\Downloads\Assessment%20Task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ABC1C-FECA-4B43-B70F-1672B95AD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532AE-82C6-4701-8C59-ACA9AFF11A8C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48945365-0443-4c36-9a63-c127e3ad42e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13B175-65E9-45BC-AB4D-E59E05A64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Task Proforma</Template>
  <TotalTime>2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White</dc:creator>
  <cp:lastModifiedBy>Vicki FREER</cp:lastModifiedBy>
  <cp:revision>2</cp:revision>
  <cp:lastPrinted>2023-08-22T00:35:00Z</cp:lastPrinted>
  <dcterms:created xsi:type="dcterms:W3CDTF">2023-08-22T00:37:00Z</dcterms:created>
  <dcterms:modified xsi:type="dcterms:W3CDTF">2023-08-22T00:37:00Z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